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Taribelang,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Wurundjeri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[Nam 00:01:06], and I'd also like to pay my respects to aboriginal elders, past and present. And as a writer, I always like to give a shout out to an Aboriginal writer. So go check out the work of Gayle Kennedy. Gayle is, um, an incredible writer from Gadigal country. Um, so I'm a writer, I'm a speaker and an appearance activist and I also work in the arts.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Albury-Wodonga,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Wales-Vic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Albury-Wodonga,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E-Commerce.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Paralympians,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Bristol,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Kingdom.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appearance-based,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Bristol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ichthyosis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ichthyosis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disability-led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exemption,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bulkhead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luggage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bifida."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70%."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annoying.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wholeheartedly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self-expression.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jumpsuit.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shimmery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pajamas."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pajamas."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Newcastle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JoJo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second-hand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00:23:34]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hashtags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Demystified.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Demystifying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Gibbs.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bluntshovels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Vanamali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Barker-Mulholland.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disability-led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Dixon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@carlyfindlay,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C-A-R-L-Y-F-I-N-D-L-A-Y,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carlyfindlay.com.au,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year-round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conditioning"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wholeheartedly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M-A-P-E-X,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P-U-P-P-Y,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Findlay: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We Can All Be Leaders Episode 5 (Completed  11/30/21)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30,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NidmqAQfLSOu2Ghc4ru34zQ9MXlQHw8bTZPsYOxe0qg9up-vCRKjaoV7iabquKXhLKqab9P5gUYEQmtWnMMQZnbISE0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