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antipoverty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Yaygir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1800RESPECT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1800737732.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(laughing).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millennial,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whereabouts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fluffy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waffy,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baptism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(laughing).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accommodations,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compulsory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tertiary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00:06:41]. Even though it might only be a $100, that's still an extra burden that other students didn't have to bear, but I 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nephews,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nephews,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(laughing).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proceedings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1958,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backlash.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dispensable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handshake,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Brisbane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refreshing,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journalists-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Berejiklian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prosecuted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catfished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(laughing).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(laughing).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Brené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bikini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Vanuatu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reaffirming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stom-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auntie."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00:27:38]. Um, what, what advice would you give to young women and non binary young people with disabilities wanting to start and speak about violence or any other issues that they care about?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fetishized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platonic,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fetishized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polyamorous,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Calendar,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Centrelink.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@nerdypioneer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@feministradical.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TikTok's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Ashleigh,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bifida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Vanuatu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(laughing)-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Ashleigh Rae: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Jade Taylor: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We Can All Be Leaders Episode 3 (Completed  09/29/21)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moGexdctzVY3ypIpYQD70s0ANVNck8ljZ6OyMXpytt3fYGg3yapo6R_VKQexFWYyuEVzJ3eRUmbrLsdjBIMhppl7S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