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Asfixia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Vassallo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Asfixia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puppeteer,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Allana,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Gilbert.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spontaneous.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Asfixia's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thoroughly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thoroughly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remarkable.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catastrophe,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enormously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cohesive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intuitively.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Melbourne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Melbourne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catastrophe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Acoda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Asfixia,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attitudes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64.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enormously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enthusiasm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outpouring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buzz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repertoire.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intertwine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unconventional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thumbnail.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installations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tomato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aesthetically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installations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oz.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trapeze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trapeze.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trapeze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awakening.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Asfixia's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www.asfixia.com.au.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Asfixia's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Robbie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craggy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Robbie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Robbie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oblivious.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Robbie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vibrations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Robbie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"Kelsey,"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Robbie."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Robbie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indignant.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Kelsey,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Robbie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bio-engineered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Robbie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scuffs.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Molly's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Robbie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eyebrows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fickler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impassioned,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Robbie.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irritation.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impoverished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reverberating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Robbie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sarcastically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wristlet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implanted,"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wristlet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sarcasm.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Robbie's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bracelet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implanted,"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Robbie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"Precisely,"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Asfixia.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Vassallo.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choreographer,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Bombay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sabbatical.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rehearsal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rehearsal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underestimated.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unpredictable.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revelation?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murmuration?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murmuration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syndrome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hiddenness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shadows,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borrowed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murmuration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mantra,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nonverbal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Ziegler.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Liz?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Falcon.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syndrome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wrestler.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Festival,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99%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Tomatoes.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Festival.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groundhog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Liz,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00:28:44],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snippets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Patston's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(Music).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201204 Activated Arts Embracing diversity (Completed  12/04/20)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08,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"https://www.rev.com/transcript-editor/shared/37ULi8Xj0YjDWeu5dIj3ZM7mbGObGIbedROy9KUXNUNco5uznnrNYv9VpfCO5OojVcLzeZnVczCj_RTaZMrMFiu6XiM?loadFrom=DocumentHeaderDeepLink"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