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Middleditch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00:00:54]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"A_tistic"?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A-_-tistic,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00:01:34].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00:01:52]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workshop?".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de-stressed.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[Oz Land 00:09:31]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00:09:32], because that is a specific craft that can be taught directly. Whereas this one is still a developing 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disconcerting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disconcerting.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half-second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precocious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end-point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solipsistic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out-and-out,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untoward.",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ineptitude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tyranny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00:19:10].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afflicted.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00:24:57]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Cormick.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Head-Toussaint.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footscrayartprize.com.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Destrefano.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hybrid,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210521 Activated Arts Ep 9 The Consultants (Completed  07/21/21)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IOdtN5cpbm3dCw0zAgDTR6XNLQmjYS4I6ZPJ1_C218XYhyfivAlAgt0J8nq8iGpPln9S5q2999cT5Dm7gQnT1iTzmG4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