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08" w:tblpY="86"/>
        <w:tblW w:w="9547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00" w:firstRow="0" w:lastRow="0" w:firstColumn="0" w:lastColumn="0" w:noHBand="0" w:noVBand="0"/>
      </w:tblPr>
      <w:tblGrid>
        <w:gridCol w:w="9547"/>
      </w:tblGrid>
      <w:tr w:rsidR="0013650F" w:rsidRPr="001A3AB0" w14:paraId="7A04FD0C" w14:textId="77777777" w:rsidTr="00F71A88">
        <w:trPr>
          <w:trHeight w:val="345"/>
        </w:trPr>
        <w:tc>
          <w:tcPr>
            <w:tcW w:w="9547" w:type="dxa"/>
            <w:shd w:val="clear" w:color="auto" w:fill="auto"/>
          </w:tcPr>
          <w:p w14:paraId="69D06023" w14:textId="77777777" w:rsidR="0013650F" w:rsidRPr="001A3AB0" w:rsidRDefault="0013650F" w:rsidP="003E68E0">
            <w:pPr>
              <w:pStyle w:val="BNGNormal"/>
              <w:spacing w:before="120"/>
              <w:jc w:val="center"/>
              <w:rPr>
                <w:b/>
                <w:color w:val="auto"/>
              </w:rPr>
            </w:pPr>
            <w:r w:rsidRPr="001A3AB0">
              <w:rPr>
                <w:b/>
                <w:color w:val="auto"/>
              </w:rPr>
              <w:t xml:space="preserve">LISTENER COMPLAINTS </w:t>
            </w:r>
            <w:bookmarkStart w:id="0" w:name="_GoBack"/>
            <w:bookmarkEnd w:id="0"/>
          </w:p>
        </w:tc>
      </w:tr>
    </w:tbl>
    <w:p w14:paraId="2C6CA980" w14:textId="77777777" w:rsidR="00F0671E" w:rsidRDefault="00F0671E" w:rsidP="0047164F">
      <w:pPr>
        <w:pStyle w:val="Heading1"/>
        <w:numPr>
          <w:ilvl w:val="0"/>
          <w:numId w:val="0"/>
        </w:numPr>
        <w:tabs>
          <w:tab w:val="left" w:pos="720"/>
        </w:tabs>
        <w:jc w:val="both"/>
      </w:pPr>
    </w:p>
    <w:p w14:paraId="5FAF5BF4" w14:textId="77777777" w:rsidR="0047164F" w:rsidRDefault="0047164F" w:rsidP="0047164F">
      <w:pPr>
        <w:pStyle w:val="Heading1"/>
        <w:numPr>
          <w:ilvl w:val="0"/>
          <w:numId w:val="0"/>
        </w:numPr>
        <w:tabs>
          <w:tab w:val="left" w:pos="720"/>
        </w:tabs>
        <w:jc w:val="both"/>
      </w:pPr>
      <w:r>
        <w:t>INTRODUCTION</w:t>
      </w:r>
    </w:p>
    <w:p w14:paraId="65679247" w14:textId="77777777" w:rsidR="0047164F" w:rsidRDefault="0047164F" w:rsidP="0047164F"/>
    <w:p w14:paraId="5163AA8C" w14:textId="77777777" w:rsidR="0047164F" w:rsidRDefault="0047164F" w:rsidP="0047164F">
      <w:r>
        <w:t xml:space="preserve">2RPH is committed to being open and responsive to any complaints or suggestions for improvement made by its listeners.  2RPH will </w:t>
      </w:r>
      <w:proofErr w:type="gramStart"/>
      <w:r>
        <w:t>at all times</w:t>
      </w:r>
      <w:proofErr w:type="gramEnd"/>
      <w:r>
        <w:t xml:space="preserve"> seek an outcome</w:t>
      </w:r>
      <w:r w:rsidR="0013650F">
        <w:t xml:space="preserve"> </w:t>
      </w:r>
      <w:r w:rsidR="004D7900">
        <w:t xml:space="preserve">to a formal complaint </w:t>
      </w:r>
      <w:r w:rsidR="0013650F">
        <w:t xml:space="preserve">which is satisfactory to the parties, </w:t>
      </w:r>
      <w:r w:rsidR="004D7900">
        <w:t>and in line with the</w:t>
      </w:r>
      <w:r w:rsidR="0013650F">
        <w:t xml:space="preserve"> </w:t>
      </w:r>
      <w:r w:rsidR="00CF3314">
        <w:rPr>
          <w:color w:val="000000"/>
          <w:lang w:val="en-US"/>
        </w:rPr>
        <w:t>Community Radio Codes of Practice</w:t>
      </w:r>
      <w:r w:rsidR="00CF3314">
        <w:t xml:space="preserve"> (Appendix A)</w:t>
      </w:r>
      <w:r w:rsidR="0013650F">
        <w:t xml:space="preserve">.  Radio 2RPH </w:t>
      </w:r>
      <w:r>
        <w:t>will endeavour to incorporate suggestion</w:t>
      </w:r>
      <w:r w:rsidR="00DD1960">
        <w:t>s for improvement into programme</w:t>
      </w:r>
      <w:r>
        <w:t xml:space="preserve"> delivery and station operation. 2RPH must adhere to the Community Radio Codes of </w:t>
      </w:r>
      <w:r w:rsidR="00DD1960">
        <w:t>Practice</w:t>
      </w:r>
      <w:r>
        <w:t xml:space="preserve"> and this policy also addresses complaints </w:t>
      </w:r>
      <w:r w:rsidR="00B4270C">
        <w:t>related to</w:t>
      </w:r>
      <w:r>
        <w:t xml:space="preserve"> 2RPH’s adherence to the Community Radio Codes of Practice </w:t>
      </w:r>
      <w:r w:rsidR="00FC7ECC">
        <w:t>(</w:t>
      </w:r>
      <w:r>
        <w:t>below).</w:t>
      </w:r>
    </w:p>
    <w:p w14:paraId="7792A741" w14:textId="77777777" w:rsidR="0047164F" w:rsidRDefault="0047164F" w:rsidP="0047164F">
      <w:pPr>
        <w:shd w:val="clear" w:color="auto" w:fill="FFFFFF"/>
        <w:outlineLvl w:val="1"/>
        <w:rPr>
          <w:b/>
          <w:color w:val="222222"/>
        </w:rPr>
      </w:pPr>
    </w:p>
    <w:p w14:paraId="5027661E" w14:textId="77777777" w:rsidR="00404029" w:rsidRDefault="00404029" w:rsidP="0047164F">
      <w:pPr>
        <w:shd w:val="clear" w:color="auto" w:fill="FFFFFF"/>
        <w:outlineLvl w:val="1"/>
        <w:rPr>
          <w:b/>
          <w:color w:val="222222"/>
        </w:rPr>
      </w:pPr>
      <w:r>
        <w:rPr>
          <w:b/>
          <w:color w:val="222222"/>
        </w:rPr>
        <w:t>2RPH SERVICE STANDARD</w:t>
      </w:r>
    </w:p>
    <w:p w14:paraId="12857055" w14:textId="77777777" w:rsidR="00404029" w:rsidRDefault="00404029" w:rsidP="0047164F">
      <w:pPr>
        <w:shd w:val="clear" w:color="auto" w:fill="FFFFFF"/>
        <w:outlineLvl w:val="1"/>
        <w:rPr>
          <w:b/>
          <w:color w:val="222222"/>
        </w:rPr>
      </w:pPr>
    </w:p>
    <w:p w14:paraId="243321C8" w14:textId="77777777" w:rsidR="00404029" w:rsidRPr="00DD1960" w:rsidRDefault="00404029" w:rsidP="00404029">
      <w:pPr>
        <w:pStyle w:val="ListParagraph"/>
        <w:numPr>
          <w:ilvl w:val="0"/>
          <w:numId w:val="0"/>
        </w:numPr>
        <w:ind w:left="281" w:hanging="340"/>
        <w:rPr>
          <w:color w:val="auto"/>
          <w:sz w:val="20"/>
          <w:szCs w:val="20"/>
        </w:rPr>
      </w:pPr>
      <w:r w:rsidRPr="00DD1960">
        <w:rPr>
          <w:color w:val="auto"/>
        </w:rPr>
        <w:t>4.  Regular feedback is sought and used to inform individual and organisation-wide service reviews and improvement.</w:t>
      </w:r>
    </w:p>
    <w:p w14:paraId="58A3B246" w14:textId="77777777" w:rsidR="00404029" w:rsidRDefault="00404029" w:rsidP="0047164F">
      <w:pPr>
        <w:shd w:val="clear" w:color="auto" w:fill="FFFFFF"/>
        <w:outlineLvl w:val="1"/>
        <w:rPr>
          <w:b/>
          <w:color w:val="222222"/>
        </w:rPr>
      </w:pPr>
    </w:p>
    <w:p w14:paraId="1AFAFF40" w14:textId="77777777" w:rsidR="0047164F" w:rsidRDefault="0047164F" w:rsidP="0047164F">
      <w:pPr>
        <w:rPr>
          <w:b/>
        </w:rPr>
      </w:pPr>
      <w:r>
        <w:rPr>
          <w:b/>
        </w:rPr>
        <w:t>PURPOSE</w:t>
      </w:r>
    </w:p>
    <w:p w14:paraId="2A1EE93B" w14:textId="77777777" w:rsidR="0047164F" w:rsidRPr="00404029" w:rsidRDefault="00404029" w:rsidP="0047164F">
      <w:pPr>
        <w:rPr>
          <w:color w:val="222222"/>
        </w:rPr>
      </w:pPr>
      <w:r w:rsidRPr="00404029">
        <w:rPr>
          <w:color w:val="222222"/>
        </w:rPr>
        <w:t xml:space="preserve">The Listener Complaints policy </w:t>
      </w:r>
      <w:r>
        <w:rPr>
          <w:color w:val="222222"/>
        </w:rPr>
        <w:t xml:space="preserve">presents </w:t>
      </w:r>
      <w:r w:rsidRPr="00404029">
        <w:rPr>
          <w:color w:val="222222"/>
        </w:rPr>
        <w:t>the way in which the organisation encourages and collects feedback from service users or other stakeholders and manages complaints about its services or activities.</w:t>
      </w:r>
    </w:p>
    <w:p w14:paraId="7EE65200" w14:textId="77777777" w:rsidR="00404029" w:rsidRDefault="00404029" w:rsidP="0047164F"/>
    <w:p w14:paraId="64E4B479" w14:textId="77777777" w:rsidR="0047164F" w:rsidRDefault="0047164F" w:rsidP="0047164F">
      <w:pPr>
        <w:shd w:val="clear" w:color="auto" w:fill="FFFFFF"/>
        <w:rPr>
          <w:color w:val="222222"/>
        </w:rPr>
      </w:pPr>
      <w:r>
        <w:rPr>
          <w:color w:val="222222"/>
        </w:rPr>
        <w:t>The purpose of this policy is:</w:t>
      </w:r>
    </w:p>
    <w:p w14:paraId="34EC6425" w14:textId="77777777" w:rsidR="0047164F" w:rsidRDefault="0047164F" w:rsidP="0047164F">
      <w:pPr>
        <w:shd w:val="clear" w:color="auto" w:fill="FFFFFF"/>
        <w:rPr>
          <w:color w:val="222222"/>
        </w:rPr>
      </w:pPr>
    </w:p>
    <w:p w14:paraId="6BCA9F47" w14:textId="77777777" w:rsidR="0047164F" w:rsidRDefault="00404029" w:rsidP="0047164F">
      <w:pPr>
        <w:numPr>
          <w:ilvl w:val="0"/>
          <w:numId w:val="46"/>
        </w:numPr>
      </w:pPr>
      <w:r>
        <w:t>t</w:t>
      </w:r>
      <w:r w:rsidR="0047164F">
        <w:t xml:space="preserve">o establish the principles which are to govern 2RPH’s response to </w:t>
      </w:r>
      <w:r w:rsidR="00A13839">
        <w:t>listener</w:t>
      </w:r>
      <w:r w:rsidR="0013650F">
        <w:t xml:space="preserve"> </w:t>
      </w:r>
      <w:r w:rsidR="0047164F">
        <w:t>complaints</w:t>
      </w:r>
      <w:r w:rsidR="000C092E">
        <w:t>.</w:t>
      </w:r>
      <w:r w:rsidR="0047164F">
        <w:t xml:space="preserve"> </w:t>
      </w:r>
    </w:p>
    <w:p w14:paraId="574D5DB4" w14:textId="77777777" w:rsidR="000C092E" w:rsidRDefault="000C092E" w:rsidP="000C092E">
      <w:pPr>
        <w:ind w:left="540"/>
      </w:pPr>
    </w:p>
    <w:p w14:paraId="4E10A66B" w14:textId="77777777" w:rsidR="0047164F" w:rsidRDefault="00404029" w:rsidP="0047164F">
      <w:pPr>
        <w:numPr>
          <w:ilvl w:val="0"/>
          <w:numId w:val="46"/>
        </w:numPr>
      </w:pPr>
      <w:r>
        <w:t>t</w:t>
      </w:r>
      <w:r w:rsidR="0047164F">
        <w:t>o ensure the existence of procedures through which listeners, members</w:t>
      </w:r>
      <w:r w:rsidR="003C363F">
        <w:t xml:space="preserve"> of the Cooperative</w:t>
      </w:r>
      <w:r w:rsidR="0047164F">
        <w:t xml:space="preserve"> or </w:t>
      </w:r>
      <w:r w:rsidR="00FC7ECC">
        <w:t>staff</w:t>
      </w:r>
      <w:r w:rsidR="0047164F">
        <w:t xml:space="preserve"> can communicate complaints and suggestions for improvement regarding any aspect of 2RPH’s programming and operations.</w:t>
      </w:r>
      <w:r w:rsidR="0047164F">
        <w:br/>
      </w:r>
    </w:p>
    <w:p w14:paraId="6FCD4384" w14:textId="77777777" w:rsidR="0047164F" w:rsidRDefault="0047164F" w:rsidP="0047164F">
      <w:pPr>
        <w:numPr>
          <w:ilvl w:val="0"/>
          <w:numId w:val="46"/>
        </w:numPr>
      </w:pPr>
      <w:r>
        <w:t xml:space="preserve">To enable 2RPH to address all complaints through ensuring that they are recorded, considered, resolved and monitored.  </w:t>
      </w:r>
    </w:p>
    <w:p w14:paraId="30A40754" w14:textId="77777777" w:rsidR="0047164F" w:rsidRDefault="0047164F" w:rsidP="0047164F"/>
    <w:p w14:paraId="1FB9FC68" w14:textId="77777777" w:rsidR="00FC7ECC" w:rsidRDefault="0047164F" w:rsidP="00FC7ECC">
      <w:pPr>
        <w:numPr>
          <w:ilvl w:val="0"/>
          <w:numId w:val="46"/>
        </w:numPr>
      </w:pPr>
      <w:r>
        <w:t xml:space="preserve">To ensure that </w:t>
      </w:r>
      <w:r w:rsidR="000C092E">
        <w:t xml:space="preserve">complaints and </w:t>
      </w:r>
      <w:r>
        <w:t xml:space="preserve">suggestions for improvement are actively encouraged, received, considered and if appropriate, acted upon with their implementation monitored and recorded. </w:t>
      </w:r>
      <w:r w:rsidR="00FC7ECC">
        <w:br/>
      </w:r>
    </w:p>
    <w:p w14:paraId="3D14E1EC" w14:textId="77777777" w:rsidR="00501C7D" w:rsidRPr="00FC7ECC" w:rsidRDefault="0047164F" w:rsidP="00FC7ECC">
      <w:pPr>
        <w:numPr>
          <w:ilvl w:val="0"/>
          <w:numId w:val="46"/>
        </w:numPr>
      </w:pPr>
      <w:r>
        <w:t>To ensure that all stakeholders are aware of the content of this policy and associated procedures.</w:t>
      </w:r>
    </w:p>
    <w:p w14:paraId="652BE0CA" w14:textId="77777777" w:rsidR="00501C7D" w:rsidRDefault="00501C7D" w:rsidP="00501C7D">
      <w:pPr>
        <w:pStyle w:val="ListParagraph"/>
        <w:numPr>
          <w:ilvl w:val="0"/>
          <w:numId w:val="0"/>
        </w:numPr>
        <w:ind w:left="340"/>
        <w:rPr>
          <w:b/>
        </w:rPr>
      </w:pPr>
    </w:p>
    <w:p w14:paraId="330BAB5A" w14:textId="77777777" w:rsidR="00413B68" w:rsidRDefault="00413B68" w:rsidP="00501C7D">
      <w:pPr>
        <w:shd w:val="clear" w:color="auto" w:fill="FFFFFF"/>
        <w:rPr>
          <w:b/>
        </w:rPr>
      </w:pPr>
    </w:p>
    <w:p w14:paraId="220A2403" w14:textId="77777777" w:rsidR="00413B68" w:rsidRDefault="00413B68" w:rsidP="00501C7D">
      <w:pPr>
        <w:shd w:val="clear" w:color="auto" w:fill="FFFFFF"/>
        <w:rPr>
          <w:b/>
        </w:rPr>
      </w:pPr>
    </w:p>
    <w:p w14:paraId="7A7B6045" w14:textId="77777777" w:rsidR="00413B68" w:rsidRDefault="00413B68" w:rsidP="00501C7D">
      <w:pPr>
        <w:shd w:val="clear" w:color="auto" w:fill="FFFFFF"/>
        <w:rPr>
          <w:b/>
        </w:rPr>
      </w:pPr>
    </w:p>
    <w:p w14:paraId="5F5B9F37" w14:textId="7A145E87" w:rsidR="0047164F" w:rsidRPr="00501C7D" w:rsidRDefault="0047164F" w:rsidP="00501C7D">
      <w:pPr>
        <w:shd w:val="clear" w:color="auto" w:fill="FFFFFF"/>
        <w:rPr>
          <w:b/>
        </w:rPr>
      </w:pPr>
      <w:r w:rsidRPr="00501C7D">
        <w:rPr>
          <w:b/>
        </w:rPr>
        <w:lastRenderedPageBreak/>
        <w:t>POLICY</w:t>
      </w:r>
    </w:p>
    <w:p w14:paraId="58F7E828" w14:textId="77777777" w:rsidR="0047164F" w:rsidRDefault="0047164F" w:rsidP="0047164F"/>
    <w:p w14:paraId="399224F1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>2RPH shall implement and maintain a complaints procedure to ensure that all complaints are responded to in a timely and impartial fashion.</w:t>
      </w:r>
    </w:p>
    <w:p w14:paraId="36A0064C" w14:textId="77777777" w:rsidR="0047164F" w:rsidRDefault="0047164F" w:rsidP="0047164F"/>
    <w:p w14:paraId="341E55CC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 xml:space="preserve">2RPH shall ensure that all suggestions for improvement and complaints are recorded, considered and retained for process improvement purposes.  </w:t>
      </w:r>
    </w:p>
    <w:p w14:paraId="0ACE31D4" w14:textId="77777777" w:rsidR="0047164F" w:rsidRDefault="0047164F" w:rsidP="0047164F"/>
    <w:p w14:paraId="235A46C4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 xml:space="preserve">2RPH </w:t>
      </w:r>
      <w:r w:rsidR="00404029">
        <w:t>shall notify</w:t>
      </w:r>
      <w:r>
        <w:t xml:space="preserve"> listeners</w:t>
      </w:r>
      <w:r w:rsidR="00404029">
        <w:t xml:space="preserve"> that</w:t>
      </w:r>
      <w:r>
        <w:t xml:space="preserve"> have a suggestion for improvement or complaint in relation to any aspect of 2RPH’s operations to express this via the relevant procedures</w:t>
      </w:r>
      <w:r w:rsidR="00404029">
        <w:t xml:space="preserve"> in accordance with </w:t>
      </w:r>
      <w:r w:rsidR="00CF3314">
        <w:rPr>
          <w:color w:val="000000"/>
          <w:lang w:val="en-US"/>
        </w:rPr>
        <w:t>Community Radio Codes of Practice</w:t>
      </w:r>
      <w:r w:rsidR="00404029" w:rsidRPr="00404029">
        <w:t xml:space="preserve"> requirements</w:t>
      </w:r>
      <w:r>
        <w:t xml:space="preserve">  </w:t>
      </w:r>
      <w:r>
        <w:br/>
      </w:r>
    </w:p>
    <w:p w14:paraId="5959A23F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 xml:space="preserve">2RPH shall address all complaints in a confidential manner.  Only the people directly involved in making, investigating or resolving a complaint will have access to information about the complaint and the complainant. </w:t>
      </w:r>
    </w:p>
    <w:p w14:paraId="5EB22AF1" w14:textId="77777777" w:rsidR="0047164F" w:rsidRDefault="0047164F" w:rsidP="0047164F"/>
    <w:p w14:paraId="74265A81" w14:textId="77777777" w:rsidR="0047164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 xml:space="preserve">2RPH shall ensure that the complaint investigation process is impartial.  No assumptions will be </w:t>
      </w:r>
      <w:proofErr w:type="gramStart"/>
      <w:r>
        <w:t>made</w:t>
      </w:r>
      <w:proofErr w:type="gramEnd"/>
      <w:r>
        <w:t xml:space="preserve"> or any action taken until all relevant information has been collected and considered.</w:t>
      </w:r>
    </w:p>
    <w:p w14:paraId="7E6B09D6" w14:textId="77777777" w:rsidR="0047164F" w:rsidRDefault="0047164F" w:rsidP="0047164F"/>
    <w:p w14:paraId="6B65440F" w14:textId="77777777" w:rsidR="003C363F" w:rsidRDefault="0047164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>2RPH shall ensure that any complaint is free of repercussions for the complainant.</w:t>
      </w:r>
    </w:p>
    <w:p w14:paraId="26F0F441" w14:textId="77777777" w:rsidR="0047164F" w:rsidRDefault="0047164F" w:rsidP="003C363F">
      <w:pPr>
        <w:ind w:left="720"/>
      </w:pPr>
      <w:r>
        <w:t xml:space="preserve"> </w:t>
      </w:r>
    </w:p>
    <w:p w14:paraId="04D71E62" w14:textId="77777777" w:rsidR="003C363F" w:rsidRDefault="003C363F" w:rsidP="0047164F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 xml:space="preserve">Where a complainant requests the involvement of a support person or advocate to assist them in dealing with the complaint, 2RPH will act to enable this support person to be included in the process.  </w:t>
      </w:r>
    </w:p>
    <w:p w14:paraId="4BB554FE" w14:textId="77777777" w:rsidR="0047164F" w:rsidRDefault="0047164F" w:rsidP="0047164F"/>
    <w:p w14:paraId="068A6161" w14:textId="77777777" w:rsidR="0047164F" w:rsidRDefault="0047164F" w:rsidP="002A60D7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 xml:space="preserve">The 2RPH </w:t>
      </w:r>
      <w:r w:rsidR="0013650F">
        <w:t>General Manager</w:t>
      </w:r>
      <w:r>
        <w:t xml:space="preserve"> will be responsible for managing the complaints procedure.</w:t>
      </w:r>
    </w:p>
    <w:p w14:paraId="05C67632" w14:textId="77777777" w:rsidR="0047164F" w:rsidRDefault="0047164F" w:rsidP="002A60D7"/>
    <w:p w14:paraId="60C1D55F" w14:textId="4A6849B3" w:rsidR="002A60D7" w:rsidRDefault="0047164F" w:rsidP="002A60D7">
      <w:pPr>
        <w:numPr>
          <w:ilvl w:val="0"/>
          <w:numId w:val="47"/>
        </w:numPr>
        <w:tabs>
          <w:tab w:val="clear" w:pos="567"/>
          <w:tab w:val="num" w:pos="720"/>
        </w:tabs>
        <w:ind w:left="709" w:hanging="720"/>
      </w:pPr>
      <w:r>
        <w:t xml:space="preserve">All information relating </w:t>
      </w:r>
      <w:r w:rsidR="00FC7ECC">
        <w:t xml:space="preserve">to a </w:t>
      </w:r>
      <w:r w:rsidR="00404029">
        <w:t xml:space="preserve">formal </w:t>
      </w:r>
      <w:r w:rsidR="00FC7ECC">
        <w:t>complaint will be kept on the 2RPH</w:t>
      </w:r>
      <w:r>
        <w:t xml:space="preserve"> Complaints Register.</w:t>
      </w:r>
      <w:r>
        <w:br/>
      </w:r>
    </w:p>
    <w:p w14:paraId="43D7BCAD" w14:textId="1EF91E8F" w:rsidR="002A60D7" w:rsidRPr="002A60D7" w:rsidRDefault="0047164F" w:rsidP="002A60D7">
      <w:pPr>
        <w:numPr>
          <w:ilvl w:val="0"/>
          <w:numId w:val="47"/>
        </w:numPr>
        <w:tabs>
          <w:tab w:val="clear" w:pos="567"/>
          <w:tab w:val="num" w:pos="720"/>
        </w:tabs>
        <w:ind w:left="709" w:hanging="720"/>
        <w:rPr>
          <w:sz w:val="22"/>
          <w:szCs w:val="22"/>
        </w:rPr>
      </w:pPr>
      <w:r>
        <w:t>2RPH shall ensure that listeners</w:t>
      </w:r>
      <w:r w:rsidR="00404029">
        <w:t xml:space="preserve"> </w:t>
      </w:r>
      <w:r>
        <w:t xml:space="preserve">are aware of </w:t>
      </w:r>
      <w:r w:rsidR="00404029">
        <w:t>their rights to lodge a formal complaint</w:t>
      </w:r>
      <w:r w:rsidR="005C15C7">
        <w:t xml:space="preserve"> and of their option to take a matter to </w:t>
      </w:r>
      <w:r w:rsidR="00B35292" w:rsidRPr="002A60D7">
        <w:rPr>
          <w:rFonts w:eastAsia="Times New Roman"/>
        </w:rPr>
        <w:t xml:space="preserve">other external agencies.  </w:t>
      </w:r>
      <w:r w:rsidR="00761AA3" w:rsidRPr="002A60D7">
        <w:rPr>
          <w:rFonts w:eastAsia="Times New Roman"/>
        </w:rPr>
        <w:t>W</w:t>
      </w:r>
      <w:r w:rsidR="00761AA3">
        <w:t xml:space="preserve">here a dispute has not been adequately resolved or where independent assistance is sought to make </w:t>
      </w:r>
      <w:r w:rsidR="00761AA3" w:rsidRPr="002A60D7">
        <w:rPr>
          <w:rFonts w:eastAsia="Times New Roman"/>
        </w:rPr>
        <w:t>a complaint</w:t>
      </w:r>
      <w:r w:rsidR="00761AA3">
        <w:t>, complainants are referred to</w:t>
      </w:r>
      <w:r w:rsidR="002A60D7" w:rsidRPr="002A60D7">
        <w:rPr>
          <w:rFonts w:eastAsia="Times New Roman"/>
        </w:rPr>
        <w:t xml:space="preserve"> </w:t>
      </w:r>
      <w:r w:rsidR="002A60D7">
        <w:t>the NSW Ombudsman.</w:t>
      </w:r>
      <w:r w:rsidR="002A60D7" w:rsidRPr="002A60D7">
        <w:rPr>
          <w:rFonts w:eastAsia="Times New Roman"/>
        </w:rPr>
        <w:t xml:space="preserve"> Further information about the NSW Ombudsman can be found at </w:t>
      </w:r>
      <w:hyperlink r:id="rId7" w:history="1">
        <w:r w:rsidR="002A60D7" w:rsidRPr="002A60D7">
          <w:rPr>
            <w:rStyle w:val="Hyperlink"/>
            <w:rFonts w:eastAsia="Times New Roman"/>
          </w:rPr>
          <w:t>www.ombo.nsw.gov.au</w:t>
        </w:r>
      </w:hyperlink>
      <w:r w:rsidR="002A60D7" w:rsidRPr="002A60D7">
        <w:rPr>
          <w:rFonts w:eastAsia="Times New Roman"/>
        </w:rPr>
        <w:t xml:space="preserve"> or by calling (02) 9286 1000 or 1800 451 524 (rural/regional callers only). </w:t>
      </w:r>
      <w:r w:rsidR="002A60D7">
        <w:t>Level 24, 580 George Street, Sydney NSW  2000.</w:t>
      </w:r>
    </w:p>
    <w:p w14:paraId="56161FDA" w14:textId="77777777" w:rsidR="002A60D7" w:rsidRPr="002A60D7" w:rsidRDefault="002A60D7" w:rsidP="002A60D7">
      <w:pPr>
        <w:ind w:left="709"/>
        <w:rPr>
          <w:sz w:val="22"/>
          <w:szCs w:val="22"/>
        </w:rPr>
      </w:pPr>
    </w:p>
    <w:p w14:paraId="352EC3C2" w14:textId="77777777" w:rsidR="0047164F" w:rsidRDefault="0047164F" w:rsidP="002A60D7">
      <w:pPr>
        <w:numPr>
          <w:ilvl w:val="0"/>
          <w:numId w:val="47"/>
        </w:numPr>
        <w:tabs>
          <w:tab w:val="clear" w:pos="567"/>
          <w:tab w:val="num" w:pos="720"/>
        </w:tabs>
        <w:ind w:left="720" w:hanging="720"/>
      </w:pPr>
      <w:r>
        <w:t>2RPH recognises the right of i</w:t>
      </w:r>
      <w:r w:rsidR="00CF3314">
        <w:t>ndividuals to escalate a matter</w:t>
      </w:r>
      <w:r>
        <w:t xml:space="preserve"> if the complaints procedure has not resolved the issue to their satisfaction.  </w:t>
      </w:r>
    </w:p>
    <w:p w14:paraId="5E18BED2" w14:textId="77777777" w:rsidR="00F0671E" w:rsidRDefault="00F0671E" w:rsidP="00F0671E">
      <w:pPr>
        <w:rPr>
          <w:b/>
        </w:rPr>
      </w:pPr>
    </w:p>
    <w:p w14:paraId="765D53DB" w14:textId="77777777" w:rsidR="002168FB" w:rsidRPr="000B409E" w:rsidRDefault="002168FB" w:rsidP="00F0671E">
      <w:pPr>
        <w:rPr>
          <w:b/>
        </w:rPr>
      </w:pPr>
      <w:r w:rsidRPr="000B409E">
        <w:rPr>
          <w:b/>
        </w:rPr>
        <w:t xml:space="preserve">DEFINITIONS  </w:t>
      </w:r>
    </w:p>
    <w:p w14:paraId="7566E307" w14:textId="77777777" w:rsidR="00F0671E" w:rsidRDefault="002168FB" w:rsidP="00F0671E">
      <w:pPr>
        <w:pStyle w:val="BNGNormal"/>
        <w:rPr>
          <w:b/>
        </w:rPr>
      </w:pPr>
      <w:r w:rsidRPr="000B409E">
        <w:rPr>
          <w:color w:val="auto"/>
        </w:rPr>
        <w:t xml:space="preserve">(see </w:t>
      </w:r>
      <w:r w:rsidR="00CF3314">
        <w:rPr>
          <w:color w:val="auto"/>
        </w:rPr>
        <w:t>Quality Framework &amp; D</w:t>
      </w:r>
      <w:r w:rsidRPr="000B409E">
        <w:rPr>
          <w:color w:val="auto"/>
        </w:rPr>
        <w:t>efinitions</w:t>
      </w:r>
      <w:r w:rsidR="00CF3314">
        <w:rPr>
          <w:color w:val="auto"/>
        </w:rPr>
        <w:t xml:space="preserve"> document</w:t>
      </w:r>
      <w:r w:rsidRPr="000B409E">
        <w:rPr>
          <w:color w:val="auto"/>
        </w:rPr>
        <w:t>)</w:t>
      </w:r>
      <w:r w:rsidR="00F0671E">
        <w:rPr>
          <w:b/>
          <w:color w:val="auto"/>
        </w:rPr>
        <w:br w:type="page"/>
      </w:r>
    </w:p>
    <w:p w14:paraId="07208818" w14:textId="77777777" w:rsidR="00F0671E" w:rsidRDefault="002168FB" w:rsidP="002168FB">
      <w:pPr>
        <w:pStyle w:val="BNGNormal"/>
        <w:rPr>
          <w:b/>
          <w:color w:val="auto"/>
        </w:rPr>
      </w:pPr>
      <w:r w:rsidRPr="000B409E">
        <w:rPr>
          <w:b/>
          <w:color w:val="auto"/>
        </w:rPr>
        <w:lastRenderedPageBreak/>
        <w:t>DOCUMENTATION</w:t>
      </w:r>
    </w:p>
    <w:p w14:paraId="0611C0A3" w14:textId="77777777" w:rsidR="00F0671E" w:rsidRPr="003C528E" w:rsidRDefault="00F0671E" w:rsidP="00F0671E">
      <w:pPr>
        <w:pStyle w:val="BNGNormal"/>
        <w:rPr>
          <w:b/>
        </w:rPr>
      </w:pPr>
    </w:p>
    <w:tbl>
      <w:tblPr>
        <w:tblW w:w="652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54"/>
        <w:gridCol w:w="567"/>
      </w:tblGrid>
      <w:tr w:rsidR="00F0671E" w:rsidRPr="00C46792" w14:paraId="49FED250" w14:textId="77777777" w:rsidTr="00F0671E">
        <w:trPr>
          <w:trHeight w:val="251"/>
        </w:trPr>
        <w:tc>
          <w:tcPr>
            <w:tcW w:w="59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7217DE5D" w14:textId="77777777" w:rsidR="00F0671E" w:rsidRPr="00C46792" w:rsidRDefault="00F0671E" w:rsidP="002347D3">
            <w:pPr>
              <w:pStyle w:val="BNGNormal"/>
              <w:ind w:left="1152" w:hanging="1152"/>
              <w:rPr>
                <w:b/>
              </w:rPr>
            </w:pPr>
            <w:r w:rsidRPr="00C46792">
              <w:rPr>
                <w:b/>
              </w:rPr>
              <w:t xml:space="preserve">Applies to: </w:t>
            </w:r>
            <w:r>
              <w:rPr>
                <w:b/>
              </w:rPr>
              <w:tab/>
            </w:r>
            <w:r>
              <w:t>Listeners, members and staff, including volunteer staff, making or receiving a complaint about 2RPH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</w:tcPr>
          <w:p w14:paraId="18BA9BFC" w14:textId="77777777" w:rsidR="00F0671E" w:rsidRPr="00C46792" w:rsidRDefault="00F0671E" w:rsidP="002347D3">
            <w:pPr>
              <w:pStyle w:val="BNGNormal"/>
              <w:rPr>
                <w:b/>
              </w:rPr>
            </w:pPr>
          </w:p>
        </w:tc>
      </w:tr>
      <w:tr w:rsidR="00F0671E" w:rsidRPr="00C46792" w14:paraId="6EB12AF8" w14:textId="77777777" w:rsidTr="00F0671E">
        <w:trPr>
          <w:trHeight w:val="350"/>
        </w:trPr>
        <w:tc>
          <w:tcPr>
            <w:tcW w:w="5954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4FD710A4" w14:textId="77777777" w:rsidR="00F0671E" w:rsidRPr="00C46792" w:rsidRDefault="00F0671E" w:rsidP="002347D3">
            <w:pPr>
              <w:pStyle w:val="BNGNormal"/>
              <w:rPr>
                <w:b/>
              </w:rPr>
            </w:pPr>
            <w:r w:rsidRPr="00C46792">
              <w:rPr>
                <w:b/>
              </w:rPr>
              <w:t>Specific responsibility:</w:t>
            </w:r>
            <w:r>
              <w:rPr>
                <w:b/>
              </w:rPr>
              <w:t xml:space="preserve">  </w:t>
            </w:r>
            <w:r>
              <w:t>Chair, 2RPH Board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</w:tcPr>
          <w:p w14:paraId="08A64BA8" w14:textId="77777777" w:rsidR="00F0671E" w:rsidRPr="00C46792" w:rsidRDefault="00F0671E" w:rsidP="002347D3">
            <w:pPr>
              <w:pStyle w:val="BNGNormal"/>
              <w:rPr>
                <w:b/>
              </w:rPr>
            </w:pPr>
          </w:p>
        </w:tc>
      </w:tr>
      <w:tr w:rsidR="00F0671E" w:rsidRPr="00C46792" w14:paraId="69053808" w14:textId="77777777" w:rsidTr="00F0671E">
        <w:trPr>
          <w:trHeight w:val="350"/>
        </w:trPr>
        <w:tc>
          <w:tcPr>
            <w:tcW w:w="5954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1DCA5C1D" w14:textId="77777777" w:rsidR="00F0671E" w:rsidRPr="00C46792" w:rsidRDefault="00F0671E" w:rsidP="002347D3">
            <w:pPr>
              <w:pStyle w:val="BNGNormal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</w:tcPr>
          <w:p w14:paraId="773C8D4A" w14:textId="77777777" w:rsidR="00F0671E" w:rsidRPr="00C46792" w:rsidRDefault="00F0671E" w:rsidP="002347D3">
            <w:pPr>
              <w:pStyle w:val="BNGNormal"/>
              <w:rPr>
                <w:b/>
              </w:rPr>
            </w:pPr>
          </w:p>
        </w:tc>
      </w:tr>
    </w:tbl>
    <w:p w14:paraId="08437755" w14:textId="77777777" w:rsidR="00F0671E" w:rsidRPr="003C528E" w:rsidRDefault="00F0671E" w:rsidP="00F0671E">
      <w:pPr>
        <w:pStyle w:val="BNGNormal"/>
      </w:pPr>
    </w:p>
    <w:tbl>
      <w:tblPr>
        <w:tblW w:w="9498" w:type="dxa"/>
        <w:tblInd w:w="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00" w:firstRow="0" w:lastRow="0" w:firstColumn="0" w:lastColumn="0" w:noHBand="0" w:noVBand="0"/>
      </w:tblPr>
      <w:tblGrid>
        <w:gridCol w:w="4111"/>
        <w:gridCol w:w="5387"/>
      </w:tblGrid>
      <w:tr w:rsidR="00F0671E" w:rsidRPr="00C46792" w14:paraId="4DD73EB9" w14:textId="77777777" w:rsidTr="002347D3">
        <w:trPr>
          <w:trHeight w:val="360"/>
        </w:trPr>
        <w:tc>
          <w:tcPr>
            <w:tcW w:w="9498" w:type="dxa"/>
            <w:gridSpan w:val="2"/>
            <w:shd w:val="clear" w:color="auto" w:fill="E6E6E6"/>
          </w:tcPr>
          <w:p w14:paraId="1F45A4FD" w14:textId="77777777" w:rsidR="00F0671E" w:rsidRPr="00C46792" w:rsidRDefault="00F0671E" w:rsidP="002347D3">
            <w:pPr>
              <w:pStyle w:val="BNGNormal"/>
              <w:rPr>
                <w:rFonts w:cs="Arial"/>
                <w:u w:val="single"/>
              </w:rPr>
            </w:pPr>
            <w:r>
              <w:rPr>
                <w:b/>
              </w:rPr>
              <w:t>C</w:t>
            </w:r>
            <w:r w:rsidRPr="00C46792">
              <w:rPr>
                <w:b/>
              </w:rPr>
              <w:t>ontext:</w:t>
            </w:r>
            <w:r w:rsidRPr="00C46792">
              <w:t xml:space="preserve"> This </w:t>
            </w:r>
            <w:r>
              <w:t>procedure</w:t>
            </w:r>
            <w:r w:rsidRPr="00C46792">
              <w:t xml:space="preserve"> relates to</w:t>
            </w:r>
          </w:p>
        </w:tc>
      </w:tr>
      <w:tr w:rsidR="00F0671E" w:rsidRPr="00C46792" w14:paraId="013DE702" w14:textId="77777777" w:rsidTr="002347D3">
        <w:trPr>
          <w:trHeight w:val="311"/>
        </w:trPr>
        <w:tc>
          <w:tcPr>
            <w:tcW w:w="4111" w:type="dxa"/>
          </w:tcPr>
          <w:p w14:paraId="558E1D9E" w14:textId="77777777" w:rsidR="00F0671E" w:rsidRPr="00C46792" w:rsidRDefault="00F0671E" w:rsidP="002347D3">
            <w:pPr>
              <w:pStyle w:val="BNGNormal"/>
            </w:pPr>
            <w:r w:rsidRPr="00C46792">
              <w:t>Standards or other external requirements</w:t>
            </w:r>
          </w:p>
        </w:tc>
        <w:tc>
          <w:tcPr>
            <w:tcW w:w="5387" w:type="dxa"/>
          </w:tcPr>
          <w:p w14:paraId="48130B24" w14:textId="77777777" w:rsidR="00F0671E" w:rsidRPr="0012786F" w:rsidRDefault="00F0671E" w:rsidP="002347D3">
            <w:pPr>
              <w:ind w:left="281"/>
              <w:rPr>
                <w:b/>
              </w:rPr>
            </w:pPr>
            <w:r w:rsidRPr="0012786F">
              <w:rPr>
                <w:b/>
              </w:rPr>
              <w:t>Standard for service</w:t>
            </w:r>
          </w:p>
          <w:p w14:paraId="1D9F4EA1" w14:textId="77777777" w:rsidR="00F0671E" w:rsidRPr="00DD1960" w:rsidRDefault="00F0671E" w:rsidP="002347D3">
            <w:pPr>
              <w:pStyle w:val="ListParagraph"/>
              <w:numPr>
                <w:ilvl w:val="0"/>
                <w:numId w:val="0"/>
              </w:numPr>
              <w:ind w:left="281" w:hanging="340"/>
              <w:rPr>
                <w:color w:val="auto"/>
                <w:sz w:val="20"/>
                <w:szCs w:val="20"/>
              </w:rPr>
            </w:pPr>
            <w:r w:rsidRPr="00DD1960">
              <w:rPr>
                <w:color w:val="auto"/>
              </w:rPr>
              <w:t>4.  Regular feedback is sought and used to inform individual and organisation-wide service reviews and improvement.</w:t>
            </w:r>
          </w:p>
          <w:p w14:paraId="03983535" w14:textId="77777777" w:rsidR="00F0671E" w:rsidRPr="00976E15" w:rsidRDefault="00F0671E" w:rsidP="002347D3">
            <w:pPr>
              <w:pStyle w:val="ListParagraph"/>
              <w:numPr>
                <w:ilvl w:val="0"/>
                <w:numId w:val="0"/>
              </w:numPr>
              <w:ind w:left="281"/>
              <w:rPr>
                <w:i/>
                <w:color w:val="auto"/>
                <w:sz w:val="22"/>
                <w:szCs w:val="22"/>
              </w:rPr>
            </w:pPr>
          </w:p>
        </w:tc>
      </w:tr>
      <w:tr w:rsidR="00F0671E" w:rsidRPr="00C46792" w14:paraId="1A9132DB" w14:textId="77777777" w:rsidTr="002347D3">
        <w:trPr>
          <w:trHeight w:val="245"/>
        </w:trPr>
        <w:tc>
          <w:tcPr>
            <w:tcW w:w="4111" w:type="dxa"/>
          </w:tcPr>
          <w:p w14:paraId="3ED3E668" w14:textId="77777777" w:rsidR="00F0671E" w:rsidRPr="00C46792" w:rsidRDefault="00F0671E" w:rsidP="002347D3">
            <w:pPr>
              <w:pStyle w:val="BNGNormal"/>
            </w:pPr>
            <w:r w:rsidRPr="00C46792">
              <w:t>Legislation or other requirements</w:t>
            </w:r>
          </w:p>
        </w:tc>
        <w:tc>
          <w:tcPr>
            <w:tcW w:w="5387" w:type="dxa"/>
          </w:tcPr>
          <w:p w14:paraId="623B03D7" w14:textId="77777777" w:rsidR="00F0671E" w:rsidRDefault="00F0671E" w:rsidP="002347D3">
            <w:pPr>
              <w:pStyle w:val="BNGNormal"/>
              <w:rPr>
                <w:rFonts w:cs="Arial"/>
                <w:color w:val="auto"/>
              </w:rPr>
            </w:pPr>
            <w:r w:rsidRPr="00E47651">
              <w:rPr>
                <w:rFonts w:cs="Arial"/>
                <w:color w:val="auto"/>
              </w:rPr>
              <w:t>Community Radio Broadcasting Code of Practice 2008</w:t>
            </w:r>
          </w:p>
          <w:p w14:paraId="0D0F2F2B" w14:textId="77777777" w:rsidR="00F0671E" w:rsidRPr="00C46792" w:rsidRDefault="00F0671E" w:rsidP="002347D3">
            <w:pPr>
              <w:pStyle w:val="BNGNormal"/>
              <w:rPr>
                <w:rFonts w:cs="Arial"/>
                <w:color w:val="0000FF"/>
                <w:u w:val="single"/>
              </w:rPr>
            </w:pPr>
            <w:r w:rsidRPr="00A67C6A">
              <w:rPr>
                <w:rFonts w:cs="Arial"/>
                <w:color w:val="auto"/>
              </w:rPr>
              <w:t>Broadcasting Services Act 1992</w:t>
            </w:r>
          </w:p>
        </w:tc>
      </w:tr>
    </w:tbl>
    <w:p w14:paraId="4F58B1CE" w14:textId="77777777" w:rsidR="00F0671E" w:rsidRDefault="00F0671E" w:rsidP="00F0671E">
      <w:pPr>
        <w:rPr>
          <w:rFonts w:ascii="Verdana" w:hAnsi="Verdana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3960"/>
        <w:gridCol w:w="5400"/>
      </w:tblGrid>
      <w:tr w:rsidR="002168FB" w:rsidRPr="000B409E" w14:paraId="5093EDE5" w14:textId="77777777" w:rsidTr="004369CC">
        <w:trPr>
          <w:trHeight w:val="187"/>
        </w:trPr>
        <w:tc>
          <w:tcPr>
            <w:tcW w:w="9360" w:type="dxa"/>
            <w:gridSpan w:val="2"/>
            <w:shd w:val="clear" w:color="auto" w:fill="E6E6E6"/>
          </w:tcPr>
          <w:p w14:paraId="18AA1929" w14:textId="77777777" w:rsidR="002168FB" w:rsidRPr="000B409E" w:rsidRDefault="00CF3314" w:rsidP="00CF3314">
            <w:pPr>
              <w:pStyle w:val="BNGNormal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Related D</w:t>
            </w:r>
            <w:r w:rsidR="002168FB" w:rsidRPr="000B409E">
              <w:rPr>
                <w:b/>
                <w:color w:val="auto"/>
              </w:rPr>
              <w:t xml:space="preserve">ocuments </w:t>
            </w:r>
          </w:p>
        </w:tc>
      </w:tr>
      <w:tr w:rsidR="002168FB" w:rsidRPr="000B409E" w14:paraId="1F0EA79B" w14:textId="77777777" w:rsidTr="004369CC">
        <w:trPr>
          <w:trHeight w:val="347"/>
        </w:trPr>
        <w:tc>
          <w:tcPr>
            <w:tcW w:w="3960" w:type="dxa"/>
          </w:tcPr>
          <w:p w14:paraId="561A4647" w14:textId="77777777" w:rsidR="002168FB" w:rsidRPr="000B409E" w:rsidRDefault="00CF3314" w:rsidP="00CF3314">
            <w:pPr>
              <w:pStyle w:val="BNGNormal"/>
              <w:rPr>
                <w:color w:val="auto"/>
              </w:rPr>
            </w:pPr>
            <w:r>
              <w:rPr>
                <w:color w:val="auto"/>
              </w:rPr>
              <w:t>2RPH</w:t>
            </w:r>
            <w:r w:rsidR="002168FB" w:rsidRPr="000B409E">
              <w:rPr>
                <w:color w:val="auto"/>
              </w:rPr>
              <w:t xml:space="preserve"> policies </w:t>
            </w:r>
          </w:p>
        </w:tc>
        <w:tc>
          <w:tcPr>
            <w:tcW w:w="5400" w:type="dxa"/>
          </w:tcPr>
          <w:p w14:paraId="4906F4B3" w14:textId="77777777" w:rsidR="002168FB" w:rsidRDefault="002168FB" w:rsidP="004369CC">
            <w:pPr>
              <w:pStyle w:val="BNGNormal"/>
              <w:rPr>
                <w:color w:val="auto"/>
              </w:rPr>
            </w:pPr>
            <w:r w:rsidRPr="00CF3314">
              <w:rPr>
                <w:color w:val="auto"/>
              </w:rPr>
              <w:t xml:space="preserve">Code of </w:t>
            </w:r>
            <w:r w:rsidR="00CF3314">
              <w:rPr>
                <w:color w:val="auto"/>
              </w:rPr>
              <w:t>Conduct</w:t>
            </w:r>
          </w:p>
          <w:p w14:paraId="2AE647E0" w14:textId="77777777" w:rsidR="001F4AE6" w:rsidRDefault="00CF3314" w:rsidP="00CF3314">
            <w:pPr>
              <w:pStyle w:val="BNGNormal"/>
              <w:rPr>
                <w:color w:val="auto"/>
              </w:rPr>
            </w:pPr>
            <w:r>
              <w:rPr>
                <w:color w:val="auto"/>
              </w:rPr>
              <w:t>Quality Framework &amp; D</w:t>
            </w:r>
            <w:r w:rsidRPr="000B409E">
              <w:rPr>
                <w:color w:val="auto"/>
              </w:rPr>
              <w:t>efinitions</w:t>
            </w:r>
            <w:r>
              <w:rPr>
                <w:color w:val="auto"/>
              </w:rPr>
              <w:t xml:space="preserve"> </w:t>
            </w:r>
          </w:p>
          <w:p w14:paraId="5F6035D6" w14:textId="77777777" w:rsidR="001F4AE6" w:rsidRDefault="00CF3314" w:rsidP="00CF3314">
            <w:pPr>
              <w:pStyle w:val="BNGNormal"/>
              <w:rPr>
                <w:color w:val="auto"/>
              </w:rPr>
            </w:pPr>
            <w:r w:rsidRPr="00CF3314">
              <w:rPr>
                <w:rFonts w:cs="Arial"/>
                <w:color w:val="auto"/>
              </w:rPr>
              <w:t>Stakeholder Feedback</w:t>
            </w:r>
            <w:r w:rsidR="001F4AE6" w:rsidRPr="00CF3314">
              <w:rPr>
                <w:color w:val="auto"/>
              </w:rPr>
              <w:t xml:space="preserve"> </w:t>
            </w:r>
          </w:p>
          <w:p w14:paraId="08FE4E4D" w14:textId="77777777" w:rsidR="002168FB" w:rsidRPr="000B409E" w:rsidRDefault="001F4AE6" w:rsidP="00CF3314">
            <w:pPr>
              <w:pStyle w:val="BNGNormal"/>
              <w:rPr>
                <w:color w:val="auto"/>
              </w:rPr>
            </w:pPr>
            <w:r w:rsidRPr="00CF3314">
              <w:rPr>
                <w:color w:val="auto"/>
              </w:rPr>
              <w:t>Volunteer Management</w:t>
            </w:r>
          </w:p>
        </w:tc>
      </w:tr>
      <w:tr w:rsidR="002168FB" w:rsidRPr="000B409E" w14:paraId="34EF77B7" w14:textId="77777777" w:rsidTr="004369CC">
        <w:trPr>
          <w:trHeight w:val="347"/>
        </w:trPr>
        <w:tc>
          <w:tcPr>
            <w:tcW w:w="3960" w:type="dxa"/>
          </w:tcPr>
          <w:p w14:paraId="1040B1AA" w14:textId="77777777" w:rsidR="002168FB" w:rsidRPr="000B409E" w:rsidRDefault="001F4AE6" w:rsidP="001F4AE6">
            <w:pPr>
              <w:pStyle w:val="BNGNormal"/>
              <w:rPr>
                <w:color w:val="auto"/>
              </w:rPr>
            </w:pPr>
            <w:r>
              <w:rPr>
                <w:color w:val="auto"/>
              </w:rPr>
              <w:t>2RPH procedures and</w:t>
            </w:r>
            <w:r w:rsidR="002168FB" w:rsidRPr="000B409E">
              <w:rPr>
                <w:color w:val="auto"/>
              </w:rPr>
              <w:t xml:space="preserve"> other documents</w:t>
            </w:r>
          </w:p>
        </w:tc>
        <w:tc>
          <w:tcPr>
            <w:tcW w:w="5400" w:type="dxa"/>
          </w:tcPr>
          <w:p w14:paraId="1CEC7DC2" w14:textId="77777777" w:rsidR="00591628" w:rsidRPr="007432ED" w:rsidRDefault="00591628" w:rsidP="00591628">
            <w:pPr>
              <w:pStyle w:val="BNGNormal"/>
              <w:rPr>
                <w:rFonts w:cs="Arial"/>
                <w:color w:val="auto"/>
              </w:rPr>
            </w:pPr>
            <w:r w:rsidRPr="007432ED">
              <w:rPr>
                <w:rFonts w:cs="Arial"/>
                <w:color w:val="auto"/>
              </w:rPr>
              <w:t>Listener Contact Form</w:t>
            </w:r>
          </w:p>
          <w:p w14:paraId="37A13B64" w14:textId="77777777" w:rsidR="00591628" w:rsidRPr="007432ED" w:rsidRDefault="00591628" w:rsidP="00591628">
            <w:pPr>
              <w:pStyle w:val="BNGNormal"/>
              <w:rPr>
                <w:rFonts w:cs="Arial"/>
                <w:color w:val="auto"/>
              </w:rPr>
            </w:pPr>
            <w:r w:rsidRPr="007432ED">
              <w:rPr>
                <w:rFonts w:cs="Arial"/>
                <w:color w:val="auto"/>
              </w:rPr>
              <w:t>Listener Database</w:t>
            </w:r>
          </w:p>
          <w:p w14:paraId="3F7042D8" w14:textId="77777777" w:rsidR="00940A82" w:rsidRDefault="00591628" w:rsidP="00591628">
            <w:pPr>
              <w:pStyle w:val="BNGNormal"/>
              <w:rPr>
                <w:color w:val="auto"/>
              </w:rPr>
            </w:pPr>
            <w:r w:rsidRPr="007432ED">
              <w:rPr>
                <w:rFonts w:cs="Arial"/>
                <w:color w:val="auto"/>
              </w:rPr>
              <w:t>Complaints Register</w:t>
            </w:r>
            <w:r w:rsidRPr="000B409E">
              <w:rPr>
                <w:color w:val="auto"/>
              </w:rPr>
              <w:t xml:space="preserve"> </w:t>
            </w:r>
          </w:p>
          <w:p w14:paraId="50C1384D" w14:textId="77777777" w:rsidR="002168FB" w:rsidRPr="000B409E" w:rsidRDefault="002168FB" w:rsidP="00591628">
            <w:pPr>
              <w:pStyle w:val="BNGNormal"/>
              <w:rPr>
                <w:color w:val="auto"/>
              </w:rPr>
            </w:pPr>
            <w:r w:rsidRPr="000B409E">
              <w:rPr>
                <w:color w:val="auto"/>
              </w:rPr>
              <w:t>Listener Contact form</w:t>
            </w:r>
          </w:p>
          <w:p w14:paraId="1F99C807" w14:textId="77777777" w:rsidR="00CF3314" w:rsidRDefault="00CF3314" w:rsidP="00CF3314">
            <w:pPr>
              <w:pStyle w:val="BNGNormal"/>
              <w:rPr>
                <w:color w:val="auto"/>
              </w:rPr>
            </w:pPr>
            <w:r w:rsidRPr="00CF3314">
              <w:rPr>
                <w:color w:val="auto"/>
              </w:rPr>
              <w:t>R.05.02 Access to Confidential Information</w:t>
            </w:r>
          </w:p>
          <w:p w14:paraId="699B7727" w14:textId="77777777" w:rsidR="00CF3314" w:rsidRPr="00CF3314" w:rsidRDefault="00CF3314" w:rsidP="00CF3314">
            <w:pPr>
              <w:pStyle w:val="BNGNormal"/>
              <w:rPr>
                <w:color w:val="auto"/>
              </w:rPr>
            </w:pPr>
            <w:r w:rsidRPr="00CF3314">
              <w:rPr>
                <w:color w:val="auto"/>
              </w:rPr>
              <w:t>Grievance Complaints and Disputes</w:t>
            </w:r>
            <w:r>
              <w:rPr>
                <w:color w:val="auto"/>
              </w:rPr>
              <w:t xml:space="preserve"> procedure</w:t>
            </w:r>
          </w:p>
          <w:p w14:paraId="0C36FF5E" w14:textId="77777777" w:rsidR="002168FB" w:rsidRPr="000B409E" w:rsidRDefault="00CF3314" w:rsidP="001F4AE6">
            <w:pPr>
              <w:pStyle w:val="BNGNormal"/>
              <w:rPr>
                <w:color w:val="auto"/>
              </w:rPr>
            </w:pPr>
            <w:r w:rsidRPr="00CF3314">
              <w:rPr>
                <w:color w:val="auto"/>
              </w:rPr>
              <w:t>Staff Orientation &amp; Induction</w:t>
            </w:r>
            <w:r>
              <w:rPr>
                <w:color w:val="auto"/>
              </w:rPr>
              <w:t xml:space="preserve"> procedure</w:t>
            </w:r>
          </w:p>
        </w:tc>
      </w:tr>
    </w:tbl>
    <w:p w14:paraId="61D074A8" w14:textId="77777777" w:rsidR="002168FB" w:rsidRPr="000B409E" w:rsidRDefault="002168FB" w:rsidP="002168FB">
      <w:pPr>
        <w:pStyle w:val="BNGNormal"/>
        <w:rPr>
          <w:color w:val="auto"/>
        </w:rPr>
      </w:pPr>
    </w:p>
    <w:tbl>
      <w:tblPr>
        <w:tblW w:w="9360" w:type="dxa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2694"/>
        <w:gridCol w:w="4252"/>
        <w:gridCol w:w="2414"/>
      </w:tblGrid>
      <w:tr w:rsidR="002168FB" w:rsidRPr="000B409E" w14:paraId="5BB5B8BC" w14:textId="77777777" w:rsidTr="004369CC">
        <w:trPr>
          <w:trHeight w:val="278"/>
        </w:trPr>
        <w:tc>
          <w:tcPr>
            <w:tcW w:w="9360" w:type="dxa"/>
            <w:gridSpan w:val="3"/>
            <w:shd w:val="clear" w:color="auto" w:fill="E0E0E0"/>
          </w:tcPr>
          <w:p w14:paraId="15182E52" w14:textId="77777777" w:rsidR="002168FB" w:rsidRPr="000B409E" w:rsidRDefault="002168FB" w:rsidP="004369CC">
            <w:pPr>
              <w:pStyle w:val="BNGNormal"/>
              <w:rPr>
                <w:b/>
                <w:color w:val="auto"/>
              </w:rPr>
            </w:pPr>
            <w:r w:rsidRPr="000B409E">
              <w:rPr>
                <w:b/>
                <w:color w:val="auto"/>
              </w:rPr>
              <w:t>Reviewing and approving this policy</w:t>
            </w:r>
          </w:p>
        </w:tc>
      </w:tr>
      <w:tr w:rsidR="002168FB" w:rsidRPr="000B409E" w14:paraId="69296F26" w14:textId="77777777" w:rsidTr="004369CC">
        <w:trPr>
          <w:trHeight w:val="278"/>
        </w:trPr>
        <w:tc>
          <w:tcPr>
            <w:tcW w:w="2694" w:type="dxa"/>
          </w:tcPr>
          <w:p w14:paraId="657CDFEF" w14:textId="77777777" w:rsidR="002168FB" w:rsidRPr="000B409E" w:rsidRDefault="002168FB" w:rsidP="004369CC">
            <w:pPr>
              <w:pStyle w:val="BNGNormal"/>
              <w:jc w:val="center"/>
              <w:rPr>
                <w:color w:val="auto"/>
              </w:rPr>
            </w:pPr>
            <w:r w:rsidRPr="000B409E">
              <w:rPr>
                <w:color w:val="auto"/>
              </w:rPr>
              <w:t>Frequency</w:t>
            </w:r>
          </w:p>
        </w:tc>
        <w:tc>
          <w:tcPr>
            <w:tcW w:w="4252" w:type="dxa"/>
          </w:tcPr>
          <w:p w14:paraId="02A7B349" w14:textId="77777777" w:rsidR="002168FB" w:rsidRPr="000B409E" w:rsidRDefault="002168FB" w:rsidP="004369CC">
            <w:pPr>
              <w:pStyle w:val="BNGNormal"/>
              <w:jc w:val="center"/>
              <w:rPr>
                <w:b/>
                <w:color w:val="auto"/>
              </w:rPr>
            </w:pPr>
            <w:r w:rsidRPr="000B409E">
              <w:rPr>
                <w:b/>
                <w:color w:val="auto"/>
              </w:rPr>
              <w:t>Person responsible</w:t>
            </w:r>
          </w:p>
        </w:tc>
        <w:tc>
          <w:tcPr>
            <w:tcW w:w="2414" w:type="dxa"/>
          </w:tcPr>
          <w:p w14:paraId="7695BABA" w14:textId="77777777" w:rsidR="002168FB" w:rsidRPr="000B409E" w:rsidRDefault="002168FB" w:rsidP="004369CC">
            <w:pPr>
              <w:pStyle w:val="BNGNormal"/>
              <w:jc w:val="center"/>
              <w:rPr>
                <w:b/>
                <w:color w:val="auto"/>
              </w:rPr>
            </w:pPr>
            <w:r w:rsidRPr="000B409E">
              <w:rPr>
                <w:b/>
                <w:color w:val="auto"/>
              </w:rPr>
              <w:t>Approval</w:t>
            </w:r>
          </w:p>
        </w:tc>
      </w:tr>
      <w:tr w:rsidR="002168FB" w:rsidRPr="000B409E" w14:paraId="6389A79F" w14:textId="77777777" w:rsidTr="004369CC">
        <w:trPr>
          <w:trHeight w:val="278"/>
        </w:trPr>
        <w:tc>
          <w:tcPr>
            <w:tcW w:w="2694" w:type="dxa"/>
          </w:tcPr>
          <w:p w14:paraId="759A0634" w14:textId="77777777" w:rsidR="002168FB" w:rsidRPr="000B409E" w:rsidRDefault="002168FB" w:rsidP="004369CC">
            <w:pPr>
              <w:pStyle w:val="BNGNormal"/>
              <w:rPr>
                <w:color w:val="auto"/>
              </w:rPr>
            </w:pPr>
            <w:r>
              <w:rPr>
                <w:color w:val="auto"/>
              </w:rPr>
              <w:t>Biennially</w:t>
            </w:r>
          </w:p>
        </w:tc>
        <w:tc>
          <w:tcPr>
            <w:tcW w:w="4252" w:type="dxa"/>
          </w:tcPr>
          <w:p w14:paraId="30ECED55" w14:textId="77777777" w:rsidR="002168FB" w:rsidRPr="000B409E" w:rsidRDefault="002168FB" w:rsidP="004369CC">
            <w:pPr>
              <w:pStyle w:val="BNGNormal"/>
              <w:rPr>
                <w:color w:val="auto"/>
              </w:rPr>
            </w:pPr>
            <w:r w:rsidRPr="000B409E">
              <w:rPr>
                <w:color w:val="auto"/>
              </w:rPr>
              <w:t>Chair, 2RPH Board</w:t>
            </w:r>
          </w:p>
        </w:tc>
        <w:tc>
          <w:tcPr>
            <w:tcW w:w="2414" w:type="dxa"/>
          </w:tcPr>
          <w:p w14:paraId="0C5993D9" w14:textId="77777777" w:rsidR="002168FB" w:rsidRPr="000B409E" w:rsidRDefault="002168FB" w:rsidP="004369CC">
            <w:pPr>
              <w:pStyle w:val="BNGNormal"/>
              <w:rPr>
                <w:color w:val="auto"/>
              </w:rPr>
            </w:pPr>
            <w:r w:rsidRPr="000B409E">
              <w:rPr>
                <w:color w:val="auto"/>
              </w:rPr>
              <w:t>2RPH Board</w:t>
            </w:r>
          </w:p>
        </w:tc>
      </w:tr>
    </w:tbl>
    <w:p w14:paraId="32F07D04" w14:textId="77777777" w:rsidR="00C46792" w:rsidRPr="00C46792" w:rsidRDefault="00C46792" w:rsidP="00C46792">
      <w:pPr>
        <w:rPr>
          <w:rFonts w:ascii="Arial" w:hAnsi="Arial" w:cs="Avenir-Book"/>
          <w:vanish/>
          <w:color w:val="404040"/>
          <w:sz w:val="20"/>
          <w:szCs w:val="20"/>
          <w:lang w:val="en-GB"/>
        </w:rPr>
      </w:pPr>
    </w:p>
    <w:tbl>
      <w:tblPr>
        <w:tblpPr w:leftFromText="180" w:rightFromText="180" w:vertAnchor="text" w:horzAnchor="margin" w:tblpX="108" w:tblpY="318"/>
        <w:tblW w:w="93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6"/>
        <w:gridCol w:w="1030"/>
        <w:gridCol w:w="2100"/>
        <w:gridCol w:w="3751"/>
        <w:gridCol w:w="2363"/>
        <w:gridCol w:w="106"/>
      </w:tblGrid>
      <w:tr w:rsidR="00F532E2" w:rsidRPr="00C46792" w14:paraId="3C86D6A7" w14:textId="77777777" w:rsidTr="003C528E">
        <w:trPr>
          <w:gridAfter w:val="1"/>
          <w:wAfter w:w="108" w:type="dxa"/>
          <w:trHeight w:val="299"/>
        </w:trPr>
        <w:tc>
          <w:tcPr>
            <w:tcW w:w="9356" w:type="dxa"/>
            <w:gridSpan w:val="5"/>
            <w:shd w:val="clear" w:color="auto" w:fill="E0E0E0"/>
          </w:tcPr>
          <w:p w14:paraId="4EF8DEC4" w14:textId="77777777" w:rsidR="00F532E2" w:rsidRPr="00C46792" w:rsidRDefault="00F532E2" w:rsidP="003C528E">
            <w:pPr>
              <w:pStyle w:val="BNGNormal"/>
              <w:rPr>
                <w:rFonts w:cs="Arial"/>
                <w:b/>
                <w:i/>
              </w:rPr>
            </w:pPr>
            <w:r w:rsidRPr="00C46792">
              <w:rPr>
                <w:rFonts w:cs="Arial"/>
                <w:b/>
              </w:rPr>
              <w:t>Policy review and version tracking</w:t>
            </w:r>
          </w:p>
        </w:tc>
      </w:tr>
      <w:tr w:rsidR="00F532E2" w:rsidRPr="00C46792" w14:paraId="29C140AB" w14:textId="77777777" w:rsidTr="003C528E">
        <w:tblPrEx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8928" w14:textId="77777777" w:rsidR="00F532E2" w:rsidRPr="00C46792" w:rsidRDefault="00F532E2" w:rsidP="003C528E">
            <w:pPr>
              <w:pStyle w:val="BNGNormal"/>
              <w:jc w:val="center"/>
              <w:rPr>
                <w:rFonts w:cs="Arial"/>
                <w:b/>
              </w:rPr>
            </w:pPr>
            <w:r w:rsidRPr="00C46792">
              <w:rPr>
                <w:rFonts w:cs="Arial"/>
                <w:b/>
              </w:rPr>
              <w:t>Review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77C1" w14:textId="77777777" w:rsidR="00F532E2" w:rsidRPr="00C46792" w:rsidRDefault="00F532E2" w:rsidP="003C528E">
            <w:pPr>
              <w:pStyle w:val="BNGNormal"/>
              <w:jc w:val="center"/>
              <w:rPr>
                <w:rFonts w:cs="Arial"/>
                <w:b/>
              </w:rPr>
            </w:pPr>
            <w:r w:rsidRPr="00C46792">
              <w:rPr>
                <w:rFonts w:cs="Arial"/>
                <w:b/>
              </w:rPr>
              <w:t>Date Approved</w:t>
            </w:r>
          </w:p>
        </w:tc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181B" w14:textId="77777777" w:rsidR="00F532E2" w:rsidRPr="00C46792" w:rsidRDefault="00F532E2" w:rsidP="003C528E">
            <w:pPr>
              <w:pStyle w:val="BNGNormal"/>
              <w:jc w:val="center"/>
              <w:rPr>
                <w:rFonts w:cs="Arial"/>
                <w:b/>
              </w:rPr>
            </w:pPr>
            <w:r w:rsidRPr="00C46792">
              <w:rPr>
                <w:rFonts w:cs="Arial"/>
                <w:b/>
              </w:rPr>
              <w:t>Approved by</w:t>
            </w:r>
          </w:p>
        </w:tc>
        <w:tc>
          <w:tcPr>
            <w:tcW w:w="2398" w:type="dxa"/>
            <w:gridSpan w:val="2"/>
          </w:tcPr>
          <w:p w14:paraId="56AF9A5A" w14:textId="77777777" w:rsidR="00F532E2" w:rsidRPr="00C46792" w:rsidRDefault="00F532E2" w:rsidP="003C528E">
            <w:pPr>
              <w:pStyle w:val="BNGNormal"/>
              <w:jc w:val="center"/>
              <w:rPr>
                <w:rFonts w:cs="Arial"/>
                <w:b/>
              </w:rPr>
            </w:pPr>
            <w:r w:rsidRPr="00C46792">
              <w:rPr>
                <w:rFonts w:cs="Arial"/>
                <w:b/>
              </w:rPr>
              <w:t>Next Review Due</w:t>
            </w:r>
          </w:p>
        </w:tc>
      </w:tr>
      <w:tr w:rsidR="00F532E2" w:rsidRPr="00C46792" w14:paraId="5ABD46A9" w14:textId="77777777" w:rsidTr="003C528E">
        <w:tblPrEx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AF05" w14:textId="77777777" w:rsidR="00F532E2" w:rsidRPr="00C46792" w:rsidRDefault="00F532E2" w:rsidP="003C528E">
            <w:pPr>
              <w:pStyle w:val="BNGNormal"/>
              <w:rPr>
                <w:rFonts w:cs="Arial"/>
              </w:rPr>
            </w:pPr>
            <w:r w:rsidRPr="00C46792">
              <w:rPr>
                <w:rFonts w:cs="Arial"/>
              </w:rPr>
              <w:t>1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36EB" w14:textId="77777777" w:rsidR="00F532E2" w:rsidRPr="00C46792" w:rsidRDefault="00B022E7" w:rsidP="003C528E">
            <w:pPr>
              <w:pStyle w:val="BNGNormal"/>
              <w:rPr>
                <w:rFonts w:cs="Arial"/>
              </w:rPr>
            </w:pPr>
            <w:r>
              <w:rPr>
                <w:rFonts w:cs="Arial"/>
              </w:rPr>
              <w:t>31 July 2014</w:t>
            </w:r>
          </w:p>
        </w:tc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C8FD" w14:textId="77777777" w:rsidR="00F532E2" w:rsidRPr="00C46792" w:rsidRDefault="00B022E7" w:rsidP="003C528E">
            <w:pPr>
              <w:pStyle w:val="BNGNormal"/>
              <w:rPr>
                <w:rFonts w:cs="Arial"/>
              </w:rPr>
            </w:pPr>
            <w:r>
              <w:rPr>
                <w:rFonts w:cs="Arial"/>
              </w:rPr>
              <w:t>Board of Directors</w:t>
            </w:r>
          </w:p>
        </w:tc>
        <w:tc>
          <w:tcPr>
            <w:tcW w:w="2398" w:type="dxa"/>
            <w:gridSpan w:val="2"/>
          </w:tcPr>
          <w:p w14:paraId="70F74FCC" w14:textId="77777777" w:rsidR="00F532E2" w:rsidRPr="00C46792" w:rsidRDefault="00B022E7" w:rsidP="003C528E">
            <w:pPr>
              <w:pStyle w:val="BNGNormal"/>
              <w:rPr>
                <w:rFonts w:cs="Arial"/>
              </w:rPr>
            </w:pPr>
            <w:r>
              <w:rPr>
                <w:rFonts w:cs="Arial"/>
              </w:rPr>
              <w:t xml:space="preserve"> By June 2016</w:t>
            </w:r>
          </w:p>
        </w:tc>
      </w:tr>
      <w:tr w:rsidR="00F532E2" w:rsidRPr="00C46792" w14:paraId="53EEDAAA" w14:textId="77777777" w:rsidTr="003C528E">
        <w:tblPrEx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B469" w14:textId="77777777" w:rsidR="00F532E2" w:rsidRPr="00C46792" w:rsidRDefault="00F532E2" w:rsidP="003C528E">
            <w:pPr>
              <w:pStyle w:val="BNGNormal"/>
              <w:rPr>
                <w:rFonts w:cs="Arial"/>
              </w:rPr>
            </w:pPr>
            <w:r w:rsidRPr="00C46792">
              <w:rPr>
                <w:rFonts w:cs="Arial"/>
              </w:rPr>
              <w:t>2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F304" w14:textId="77777777" w:rsidR="00F532E2" w:rsidRPr="00C46792" w:rsidRDefault="004D7900" w:rsidP="003C528E">
            <w:pPr>
              <w:pStyle w:val="BNGNormal"/>
              <w:rPr>
                <w:rFonts w:cs="Arial"/>
              </w:rPr>
            </w:pPr>
            <w:r>
              <w:rPr>
                <w:rFonts w:cs="Arial"/>
              </w:rPr>
              <w:t>July 2016</w:t>
            </w:r>
          </w:p>
        </w:tc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B63F" w14:textId="77777777" w:rsidR="00F532E2" w:rsidRPr="00C46792" w:rsidRDefault="00940A82" w:rsidP="003C528E">
            <w:pPr>
              <w:pStyle w:val="BNGNormal"/>
              <w:rPr>
                <w:rFonts w:cs="Arial"/>
              </w:rPr>
            </w:pPr>
            <w:r>
              <w:rPr>
                <w:rFonts w:cs="Arial"/>
              </w:rPr>
              <w:t>Board of Directors</w:t>
            </w:r>
          </w:p>
        </w:tc>
        <w:tc>
          <w:tcPr>
            <w:tcW w:w="2398" w:type="dxa"/>
            <w:gridSpan w:val="2"/>
          </w:tcPr>
          <w:p w14:paraId="199067E7" w14:textId="77777777" w:rsidR="00F532E2" w:rsidRPr="00C46792" w:rsidRDefault="004D7900" w:rsidP="003C528E">
            <w:pPr>
              <w:pStyle w:val="BNGNormal"/>
              <w:rPr>
                <w:rFonts w:cs="Arial"/>
              </w:rPr>
            </w:pPr>
            <w:r>
              <w:rPr>
                <w:rFonts w:cs="Arial"/>
              </w:rPr>
              <w:t>August 2018</w:t>
            </w:r>
          </w:p>
        </w:tc>
      </w:tr>
      <w:tr w:rsidR="00F532E2" w:rsidRPr="00C46792" w14:paraId="56C220B6" w14:textId="77777777" w:rsidTr="003C528E">
        <w:tblPrEx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8C1E" w14:textId="77777777" w:rsidR="00F532E2" w:rsidRPr="00C46792" w:rsidRDefault="00F532E2" w:rsidP="003C528E">
            <w:pPr>
              <w:pStyle w:val="BNGNormal"/>
              <w:rPr>
                <w:rFonts w:cs="Arial"/>
              </w:rPr>
            </w:pPr>
            <w:r w:rsidRPr="00C46792">
              <w:rPr>
                <w:rFonts w:cs="Arial"/>
              </w:rPr>
              <w:t>3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2502" w14:textId="77777777" w:rsidR="00F532E2" w:rsidRPr="00C46792" w:rsidRDefault="00F532E2" w:rsidP="003C528E">
            <w:pPr>
              <w:pStyle w:val="BNGNormal"/>
              <w:rPr>
                <w:rFonts w:cs="Arial"/>
              </w:rPr>
            </w:pPr>
          </w:p>
        </w:tc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637E" w14:textId="77777777" w:rsidR="00F532E2" w:rsidRPr="00C46792" w:rsidRDefault="00F532E2" w:rsidP="003C528E">
            <w:pPr>
              <w:pStyle w:val="BNGNormal"/>
              <w:rPr>
                <w:rFonts w:cs="Arial"/>
              </w:rPr>
            </w:pPr>
          </w:p>
        </w:tc>
        <w:tc>
          <w:tcPr>
            <w:tcW w:w="2398" w:type="dxa"/>
            <w:gridSpan w:val="2"/>
          </w:tcPr>
          <w:p w14:paraId="60FCA13A" w14:textId="77777777" w:rsidR="00F532E2" w:rsidRPr="00C46792" w:rsidRDefault="00F532E2" w:rsidP="003C528E">
            <w:pPr>
              <w:pStyle w:val="BNGNormal"/>
              <w:rPr>
                <w:rFonts w:cs="Arial"/>
              </w:rPr>
            </w:pPr>
          </w:p>
        </w:tc>
      </w:tr>
    </w:tbl>
    <w:p w14:paraId="706DBC82" w14:textId="77777777" w:rsidR="00F0671E" w:rsidRDefault="00F0671E">
      <w:pPr>
        <w:rPr>
          <w:rFonts w:ascii="Arial" w:hAnsi="Arial" w:cs="Arial"/>
          <w:color w:val="404040"/>
          <w:sz w:val="20"/>
          <w:szCs w:val="20"/>
          <w:lang w:val="en-GB"/>
        </w:rPr>
      </w:pPr>
      <w:r>
        <w:rPr>
          <w:rFonts w:cs="Arial"/>
        </w:rPr>
        <w:br w:type="page"/>
      </w:r>
    </w:p>
    <w:p w14:paraId="3CE5B1A0" w14:textId="77777777" w:rsidR="00F0671E" w:rsidRDefault="00F0671E" w:rsidP="00F0671E">
      <w:pPr>
        <w:spacing w:after="120"/>
        <w:rPr>
          <w:b/>
        </w:rPr>
      </w:pPr>
      <w:r>
        <w:rPr>
          <w:b/>
        </w:rPr>
        <w:lastRenderedPageBreak/>
        <w:t>APPENDIX A</w:t>
      </w:r>
    </w:p>
    <w:p w14:paraId="52DC1E44" w14:textId="7FE14EF7" w:rsidR="00F0671E" w:rsidRDefault="00F0671E" w:rsidP="00F0671E">
      <w:pPr>
        <w:spacing w:after="120"/>
        <w:rPr>
          <w:b/>
        </w:rPr>
      </w:pPr>
      <w:r>
        <w:rPr>
          <w:b/>
        </w:rPr>
        <w:t>COMMUNITY RADIO CODES OF PRACTICE – Code 7:</w:t>
      </w:r>
      <w:r w:rsidR="00874468">
        <w:rPr>
          <w:b/>
        </w:rPr>
        <w:t xml:space="preserve"> </w:t>
      </w:r>
      <w:r>
        <w:rPr>
          <w:b/>
        </w:rPr>
        <w:t>Complaints</w:t>
      </w:r>
    </w:p>
    <w:p w14:paraId="6181FA0E" w14:textId="77777777" w:rsidR="00F0671E" w:rsidRDefault="00F0671E" w:rsidP="00F0671E">
      <w:pPr>
        <w:widowControl w:val="0"/>
        <w:autoSpaceDE w:val="0"/>
        <w:autoSpaceDN w:val="0"/>
        <w:adjustRightInd w:val="0"/>
        <w:spacing w:before="120"/>
        <w:rPr>
          <w:color w:val="000000"/>
          <w:lang w:val="en-US"/>
        </w:rPr>
      </w:pPr>
      <w:r>
        <w:t xml:space="preserve">This policy deals specifically with 2RPH’s </w:t>
      </w:r>
      <w:r>
        <w:rPr>
          <w:color w:val="000000"/>
          <w:lang w:val="en-US"/>
        </w:rPr>
        <w:t>legal requirements relating to complaint</w:t>
      </w:r>
    </w:p>
    <w:p w14:paraId="5262E5BE" w14:textId="77777777" w:rsidR="00F0671E" w:rsidRPr="00A13839" w:rsidRDefault="00F0671E" w:rsidP="00F0671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>
        <w:rPr>
          <w:color w:val="000000"/>
          <w:lang w:val="en-US"/>
        </w:rPr>
        <w:t xml:space="preserve">handling under the Community Radio Codes of Practice </w:t>
      </w:r>
      <w:r w:rsidRPr="00A13839">
        <w:rPr>
          <w:color w:val="000000"/>
          <w:sz w:val="20"/>
          <w:szCs w:val="20"/>
          <w:lang w:val="en-US"/>
        </w:rPr>
        <w:t xml:space="preserve">(adapted from </w:t>
      </w:r>
      <w:hyperlink r:id="rId8" w:history="1">
        <w:r w:rsidRPr="00033D16">
          <w:rPr>
            <w:rStyle w:val="Hyperlink"/>
            <w:sz w:val="20"/>
            <w:szCs w:val="20"/>
            <w:lang w:val="en-US"/>
          </w:rPr>
          <w:t>http://cbaa.org.au/News_And_Publications/Code-of-Practice/Codes-of-Practice-Appendix-8</w:t>
        </w:r>
      </w:hyperlink>
      <w:r>
        <w:rPr>
          <w:color w:val="000000"/>
          <w:lang w:val="en-US"/>
        </w:rPr>
        <w:t xml:space="preserve"> </w:t>
      </w:r>
      <w:r w:rsidRPr="00A13839">
        <w:rPr>
          <w:color w:val="000000"/>
          <w:sz w:val="20"/>
          <w:szCs w:val="20"/>
          <w:lang w:val="en-US"/>
        </w:rPr>
        <w:t xml:space="preserve">- accessed 21.07.2014). </w:t>
      </w:r>
    </w:p>
    <w:p w14:paraId="37149120" w14:textId="77777777" w:rsid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color w:val="000000"/>
          <w:lang w:val="en-US"/>
        </w:rPr>
      </w:pPr>
      <w:r>
        <w:rPr>
          <w:color w:val="000000"/>
          <w:lang w:val="en-US"/>
        </w:rPr>
        <w:t xml:space="preserve">2RPH acknowledges the rights of listeners, members and volunteers to make complaints in writing about alleged non-compliance with both the license conditions in </w:t>
      </w:r>
      <w:r>
        <w:rPr>
          <w:i/>
          <w:color w:val="000000"/>
          <w:lang w:val="en-US"/>
        </w:rPr>
        <w:t xml:space="preserve">the Act </w:t>
      </w:r>
      <w:r>
        <w:rPr>
          <w:color w:val="000000"/>
          <w:lang w:val="en-US"/>
        </w:rPr>
        <w:t>and the requirements outlined in the Codes.</w:t>
      </w:r>
    </w:p>
    <w:p w14:paraId="2B105011" w14:textId="77777777" w:rsid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color w:val="000000"/>
          <w:lang w:val="en-US"/>
        </w:rPr>
      </w:pPr>
      <w:r w:rsidRPr="00CF3314">
        <w:rPr>
          <w:color w:val="000000"/>
          <w:lang w:val="en-US"/>
        </w:rPr>
        <w:t>2RPH will broadcast at least one on-air announcement each week that contains information about the Codes and where listeners can get a copy.</w:t>
      </w:r>
    </w:p>
    <w:p w14:paraId="2BDC750B" w14:textId="77777777" w:rsid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color w:val="000000"/>
          <w:lang w:val="en-US"/>
        </w:rPr>
      </w:pPr>
      <w:r>
        <w:rPr>
          <w:color w:val="000000"/>
          <w:lang w:val="en-US"/>
        </w:rPr>
        <w:t>2RPH will make every reasonable effort to resolve complaints, except where a complaint is clearly frivolous, without sufficient grounds or not made in good faith.</w:t>
      </w:r>
    </w:p>
    <w:p w14:paraId="4382EACE" w14:textId="77777777" w:rsid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color w:val="000000"/>
          <w:lang w:val="en-US"/>
        </w:rPr>
      </w:pPr>
      <w:r>
        <w:rPr>
          <w:lang w:val="en-US"/>
        </w:rPr>
        <w:t>2RPH will ensure that:</w:t>
      </w:r>
    </w:p>
    <w:p w14:paraId="1076C970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all complaints are received by a responsible person in normal office hours and receipt of a formal complaint (defined as a complaint related to 2RPH’s obligations under the Community Radio Codes of Practice) is acknowledged in writing;</w:t>
      </w:r>
    </w:p>
    <w:p w14:paraId="381A970B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all complaints will be conscientiously considered, investigated if necessary, and responded to substantively as soon as possible;</w:t>
      </w:r>
    </w:p>
    <w:p w14:paraId="6F21542A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formal complaints will be responded to in writing within 60 days of receipt, as required by </w:t>
      </w:r>
      <w:r>
        <w:rPr>
          <w:i/>
          <w:color w:val="000000"/>
          <w:lang w:val="en-US"/>
        </w:rPr>
        <w:t>the Act</w:t>
      </w:r>
      <w:r>
        <w:rPr>
          <w:color w:val="000000"/>
          <w:lang w:val="en-US"/>
        </w:rPr>
        <w:t>, and the response will include a copy of the Codes; and</w:t>
      </w:r>
    </w:p>
    <w:p w14:paraId="6CA6C0EC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formal complainants are advised in writing that they have the right to refer their complaint about a Code matter to ACMA provided they have first:</w:t>
      </w:r>
    </w:p>
    <w:p w14:paraId="54440CB4" w14:textId="77777777" w:rsidR="00F0671E" w:rsidRDefault="00F0671E" w:rsidP="00F0671E">
      <w:pPr>
        <w:widowControl w:val="0"/>
        <w:numPr>
          <w:ilvl w:val="2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formally lodged their complaint with the licensee in writing; and</w:t>
      </w:r>
    </w:p>
    <w:p w14:paraId="51A82FAE" w14:textId="77777777" w:rsidR="00F0671E" w:rsidRDefault="00F0671E" w:rsidP="00F0671E">
      <w:pPr>
        <w:widowControl w:val="0"/>
        <w:numPr>
          <w:ilvl w:val="2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received a substantive response from the licensee and are dissatisfied with this </w:t>
      </w:r>
      <w:proofErr w:type="gramStart"/>
      <w:r>
        <w:rPr>
          <w:color w:val="000000"/>
          <w:lang w:val="en-US"/>
        </w:rPr>
        <w:t>response, or</w:t>
      </w:r>
      <w:proofErr w:type="gramEnd"/>
      <w:r>
        <w:rPr>
          <w:color w:val="000000"/>
          <w:lang w:val="en-US"/>
        </w:rPr>
        <w:t xml:space="preserve"> have not received a response from the licensee within 60 days after making the complaint.</w:t>
      </w:r>
    </w:p>
    <w:p w14:paraId="3C39FB54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A written complaint or response can be a letter, fax, or email.</w:t>
      </w:r>
    </w:p>
    <w:p w14:paraId="176BAC8B" w14:textId="77777777" w:rsidR="00F0671E" w:rsidRP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</w:pPr>
      <w:r w:rsidRPr="00CF3314">
        <w:t>A responsible person of 2RPH will maintain a record of complaints and responses for at least two years from the date of the complaint.</w:t>
      </w:r>
    </w:p>
    <w:p w14:paraId="18C720F9" w14:textId="77777777" w:rsidR="00F0671E" w:rsidRP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b/>
          <w:color w:val="000000"/>
          <w:lang w:val="en-US"/>
        </w:rPr>
      </w:pPr>
      <w:r w:rsidRPr="00F0671E">
        <w:rPr>
          <w:color w:val="000000"/>
          <w:lang w:val="en-US"/>
        </w:rPr>
        <w:t xml:space="preserve">The </w:t>
      </w:r>
      <w:r w:rsidRPr="00F0671E">
        <w:t>record</w:t>
      </w:r>
      <w:r>
        <w:t xml:space="preserve"> of complaints and responses will be made available to ACMA on request.</w:t>
      </w:r>
      <w:r w:rsidRPr="00F0671E">
        <w:rPr>
          <w:color w:val="000000"/>
          <w:lang w:val="en-US"/>
        </w:rPr>
        <w:t xml:space="preserve">  </w:t>
      </w:r>
    </w:p>
    <w:p w14:paraId="2A48A715" w14:textId="77777777" w:rsidR="00F0671E" w:rsidRPr="00F0671E" w:rsidRDefault="00F0671E" w:rsidP="00F0671E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color w:val="000000"/>
          <w:lang w:val="en-US"/>
        </w:rPr>
      </w:pPr>
      <w:r w:rsidRPr="00CF3314">
        <w:rPr>
          <w:color w:val="000000"/>
          <w:lang w:val="en-US"/>
        </w:rPr>
        <w:t>Reporting and Record Keeping</w:t>
      </w:r>
      <w:r>
        <w:rPr>
          <w:color w:val="000000"/>
          <w:lang w:val="en-US"/>
        </w:rPr>
        <w:t xml:space="preserve">: </w:t>
      </w:r>
      <w:r w:rsidRPr="00F0671E">
        <w:rPr>
          <w:color w:val="000000"/>
          <w:lang w:val="en-US"/>
        </w:rPr>
        <w:br/>
        <w:t xml:space="preserve">2RPH will </w:t>
      </w:r>
      <w:r w:rsidRPr="00F0671E">
        <w:rPr>
          <w:lang w:val="en-US"/>
        </w:rPr>
        <w:t>keep a record of material relating to all formal complaints, including logging tapes or audio copies of broadcast material, and written documentation for one year, including:</w:t>
      </w:r>
    </w:p>
    <w:p w14:paraId="403E9411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the date and time the complaint was received;</w:t>
      </w:r>
    </w:p>
    <w:p w14:paraId="3BC315EF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the name and address of the complainant;</w:t>
      </w:r>
    </w:p>
    <w:p w14:paraId="462D4FC9" w14:textId="77777777" w:rsidR="00F0671E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the substance of the complaint; and</w:t>
      </w:r>
    </w:p>
    <w:p w14:paraId="535AA351" w14:textId="77777777" w:rsidR="00F0671E" w:rsidRPr="00940A82" w:rsidRDefault="00F0671E" w:rsidP="00F0671E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line="360" w:lineRule="auto"/>
        <w:rPr>
          <w:rFonts w:cs="Arial"/>
          <w:b/>
        </w:rPr>
      </w:pPr>
      <w:r w:rsidRPr="00940A82">
        <w:rPr>
          <w:color w:val="000000"/>
          <w:lang w:val="en-US"/>
        </w:rPr>
        <w:t>the substance and date of the licensee’s respon</w:t>
      </w:r>
      <w:r>
        <w:rPr>
          <w:color w:val="000000"/>
          <w:lang w:val="en-US"/>
        </w:rPr>
        <w:t>se.</w:t>
      </w:r>
    </w:p>
    <w:p w14:paraId="57383756" w14:textId="77777777" w:rsidR="0012556E" w:rsidRDefault="0012556E" w:rsidP="003C528E">
      <w:pPr>
        <w:pStyle w:val="BNGNormal"/>
        <w:rPr>
          <w:rFonts w:cs="Arial"/>
        </w:rPr>
      </w:pPr>
    </w:p>
    <w:sectPr w:rsidR="0012556E" w:rsidSect="00F0671E">
      <w:headerReference w:type="default" r:id="rId9"/>
      <w:footerReference w:type="default" r:id="rId10"/>
      <w:pgSz w:w="12240" w:h="15840"/>
      <w:pgMar w:top="630" w:right="1418" w:bottom="720" w:left="1418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324B5" w14:textId="77777777" w:rsidR="00836E0F" w:rsidRDefault="00836E0F">
      <w:r>
        <w:separator/>
      </w:r>
    </w:p>
  </w:endnote>
  <w:endnote w:type="continuationSeparator" w:id="0">
    <w:p w14:paraId="18C47919" w14:textId="77777777" w:rsidR="00836E0F" w:rsidRDefault="0083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7"/>
      <w:gridCol w:w="8623"/>
    </w:tblGrid>
    <w:tr w:rsidR="001A3AB0" w14:paraId="025C7C07" w14:textId="77777777" w:rsidTr="00721513">
      <w:tc>
        <w:tcPr>
          <w:tcW w:w="918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14:paraId="0B67EC1A" w14:textId="77777777" w:rsidR="001A3AB0" w:rsidRPr="00503AF7" w:rsidRDefault="001A3AB0" w:rsidP="00721513">
          <w:pPr>
            <w:pStyle w:val="Footer"/>
            <w:ind w:left="-90"/>
            <w:rPr>
              <w:b/>
              <w:bCs/>
              <w:color w:val="4F81BD"/>
              <w:sz w:val="18"/>
              <w:szCs w:val="18"/>
            </w:rPr>
          </w:pPr>
          <w:r w:rsidRPr="00503AF7">
            <w:rPr>
              <w:sz w:val="18"/>
              <w:szCs w:val="18"/>
            </w:rPr>
            <w:t xml:space="preserve">Page </w:t>
          </w:r>
          <w:r w:rsidRPr="00503AF7">
            <w:rPr>
              <w:sz w:val="18"/>
              <w:szCs w:val="18"/>
            </w:rPr>
            <w:fldChar w:fldCharType="begin"/>
          </w:r>
          <w:r w:rsidRPr="00503AF7">
            <w:rPr>
              <w:sz w:val="18"/>
              <w:szCs w:val="18"/>
            </w:rPr>
            <w:instrText xml:space="preserve"> PAGE  \* Arabic  \* MERGEFORMAT </w:instrText>
          </w:r>
          <w:r w:rsidRPr="00503AF7">
            <w:rPr>
              <w:sz w:val="18"/>
              <w:szCs w:val="18"/>
            </w:rPr>
            <w:fldChar w:fldCharType="separate"/>
          </w:r>
          <w:r w:rsidR="004D7900">
            <w:rPr>
              <w:noProof/>
              <w:sz w:val="18"/>
              <w:szCs w:val="18"/>
            </w:rPr>
            <w:t>2</w:t>
          </w:r>
          <w:r w:rsidRPr="00503AF7">
            <w:rPr>
              <w:sz w:val="18"/>
              <w:szCs w:val="18"/>
            </w:rPr>
            <w:fldChar w:fldCharType="end"/>
          </w:r>
          <w:r w:rsidRPr="00503AF7">
            <w:rPr>
              <w:sz w:val="18"/>
              <w:szCs w:val="18"/>
            </w:rPr>
            <w:t xml:space="preserve"> of </w:t>
          </w:r>
          <w:r w:rsidRPr="00503AF7">
            <w:rPr>
              <w:sz w:val="18"/>
              <w:szCs w:val="18"/>
            </w:rPr>
            <w:fldChar w:fldCharType="begin"/>
          </w:r>
          <w:r w:rsidRPr="00503AF7">
            <w:rPr>
              <w:sz w:val="18"/>
              <w:szCs w:val="18"/>
            </w:rPr>
            <w:instrText xml:space="preserve"> NUMPAGES  \* Arabic  \* MERGEFORMAT </w:instrText>
          </w:r>
          <w:r w:rsidRPr="00503AF7">
            <w:rPr>
              <w:sz w:val="18"/>
              <w:szCs w:val="18"/>
            </w:rPr>
            <w:fldChar w:fldCharType="separate"/>
          </w:r>
          <w:r w:rsidR="004D7900">
            <w:rPr>
              <w:noProof/>
              <w:sz w:val="18"/>
              <w:szCs w:val="18"/>
            </w:rPr>
            <w:t>4</w:t>
          </w:r>
          <w:r w:rsidRPr="00503AF7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2CD94A0F" w14:textId="192929FC" w:rsidR="001A3AB0" w:rsidRDefault="001A3AB0" w:rsidP="00721513">
          <w:pPr>
            <w:tabs>
              <w:tab w:val="left" w:pos="4394"/>
            </w:tabs>
            <w:rPr>
              <w:rFonts w:ascii="Cambria" w:eastAsia="Times New Roman" w:hAnsi="Cambria"/>
              <w:sz w:val="20"/>
              <w:szCs w:val="20"/>
            </w:rPr>
          </w:pPr>
          <w:r>
            <w:rPr>
              <w:rFonts w:ascii="Cambria" w:eastAsia="Times New Roman" w:hAnsi="Cambria"/>
              <w:sz w:val="20"/>
              <w:szCs w:val="20"/>
            </w:rPr>
            <w:t xml:space="preserve">File: </w:t>
          </w:r>
          <w:r w:rsidR="00F0671E">
            <w:rPr>
              <w:rFonts w:ascii="Cambria" w:eastAsia="Times New Roman" w:hAnsi="Cambria"/>
              <w:sz w:val="20"/>
              <w:szCs w:val="20"/>
            </w:rPr>
            <w:fldChar w:fldCharType="begin"/>
          </w:r>
          <w:r w:rsidR="00F0671E">
            <w:rPr>
              <w:rFonts w:ascii="Cambria" w:eastAsia="Times New Roman" w:hAnsi="Cambria"/>
              <w:sz w:val="20"/>
              <w:szCs w:val="20"/>
            </w:rPr>
            <w:instrText xml:space="preserve"> FILENAME   \* MERGEFORMAT </w:instrText>
          </w:r>
          <w:r w:rsidR="00F0671E">
            <w:rPr>
              <w:rFonts w:ascii="Cambria" w:eastAsia="Times New Roman" w:hAnsi="Cambria"/>
              <w:sz w:val="20"/>
              <w:szCs w:val="20"/>
            </w:rPr>
            <w:fldChar w:fldCharType="separate"/>
          </w:r>
          <w:r w:rsidR="00F0671E">
            <w:rPr>
              <w:rFonts w:ascii="Cambria" w:eastAsia="Times New Roman" w:hAnsi="Cambria"/>
              <w:noProof/>
              <w:sz w:val="20"/>
              <w:szCs w:val="20"/>
            </w:rPr>
            <w:t>Listener Complaints policy</w:t>
          </w:r>
          <w:r w:rsidR="00F0671E">
            <w:rPr>
              <w:rFonts w:ascii="Cambria" w:eastAsia="Times New Roman" w:hAnsi="Cambria"/>
              <w:sz w:val="20"/>
              <w:szCs w:val="20"/>
            </w:rPr>
            <w:fldChar w:fldCharType="end"/>
          </w:r>
          <w:r>
            <w:rPr>
              <w:rFonts w:ascii="Cambria" w:eastAsia="Times New Roman" w:hAnsi="Cambria"/>
              <w:sz w:val="20"/>
              <w:szCs w:val="20"/>
            </w:rPr>
            <w:t xml:space="preserve"> </w:t>
          </w:r>
          <w:r>
            <w:rPr>
              <w:rFonts w:ascii="Cambria" w:eastAsia="Times New Roman" w:hAnsi="Cambria"/>
              <w:sz w:val="20"/>
              <w:szCs w:val="20"/>
            </w:rPr>
            <w:tab/>
          </w:r>
          <w:r>
            <w:rPr>
              <w:rFonts w:ascii="Cambria" w:eastAsia="Times New Roman" w:hAnsi="Cambria"/>
              <w:sz w:val="20"/>
              <w:szCs w:val="20"/>
            </w:rPr>
            <w:tab/>
            <w:t xml:space="preserve">Version: </w:t>
          </w:r>
          <w:r>
            <w:rPr>
              <w:rFonts w:ascii="Cambria" w:eastAsia="Times New Roman" w:hAnsi="Cambria"/>
              <w:sz w:val="20"/>
              <w:szCs w:val="20"/>
            </w:rPr>
            <w:fldChar w:fldCharType="begin"/>
          </w:r>
          <w:r>
            <w:rPr>
              <w:rFonts w:ascii="Cambria" w:eastAsia="Times New Roman" w:hAnsi="Cambria"/>
              <w:sz w:val="20"/>
              <w:szCs w:val="20"/>
            </w:rPr>
            <w:instrText xml:space="preserve"> SAVEDATE  \@ "d MMMM yyyy"  \* MERGEFORMAT </w:instrText>
          </w:r>
          <w:r>
            <w:rPr>
              <w:rFonts w:ascii="Cambria" w:eastAsia="Times New Roman" w:hAnsi="Cambria"/>
              <w:sz w:val="20"/>
              <w:szCs w:val="20"/>
            </w:rPr>
            <w:fldChar w:fldCharType="separate"/>
          </w:r>
          <w:r w:rsidR="00B5340D">
            <w:rPr>
              <w:rFonts w:ascii="Cambria" w:eastAsia="Times New Roman" w:hAnsi="Cambria"/>
              <w:noProof/>
              <w:sz w:val="20"/>
              <w:szCs w:val="20"/>
            </w:rPr>
            <w:t>17 May 2018</w:t>
          </w:r>
          <w:r>
            <w:rPr>
              <w:rFonts w:ascii="Cambria" w:eastAsia="Times New Roman" w:hAnsi="Cambria"/>
              <w:sz w:val="20"/>
              <w:szCs w:val="20"/>
            </w:rPr>
            <w:fldChar w:fldCharType="end"/>
          </w:r>
          <w:r>
            <w:rPr>
              <w:rFonts w:ascii="Cambria" w:eastAsia="Times New Roman" w:hAnsi="Cambria"/>
              <w:sz w:val="20"/>
              <w:szCs w:val="20"/>
            </w:rPr>
            <w:t xml:space="preserve">  </w:t>
          </w:r>
        </w:p>
        <w:p w14:paraId="26FAE629" w14:textId="77777777" w:rsidR="001A3AB0" w:rsidRDefault="001A3AB0" w:rsidP="00F0671E">
          <w:r>
            <w:rPr>
              <w:rFonts w:ascii="Cambria" w:eastAsia="Times New Roman" w:hAnsi="Cambria"/>
              <w:sz w:val="20"/>
              <w:szCs w:val="20"/>
            </w:rPr>
            <w:t xml:space="preserve">Owner: </w:t>
          </w:r>
          <w:r w:rsidR="00F0671E">
            <w:rPr>
              <w:rFonts w:ascii="Cambria" w:eastAsia="Times New Roman" w:hAnsi="Cambria"/>
              <w:sz w:val="20"/>
              <w:szCs w:val="20"/>
            </w:rPr>
            <w:t>General Manager</w:t>
          </w:r>
        </w:p>
      </w:tc>
    </w:tr>
  </w:tbl>
  <w:p w14:paraId="310ED6CF" w14:textId="77777777" w:rsidR="00D37C3B" w:rsidRDefault="00D37C3B" w:rsidP="00FC7ECC">
    <w:pPr>
      <w:pStyle w:val="Footer"/>
      <w:tabs>
        <w:tab w:val="clear" w:pos="8306"/>
        <w:tab w:val="right" w:pos="9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A147" w14:textId="77777777" w:rsidR="00836E0F" w:rsidRDefault="00836E0F">
      <w:r>
        <w:separator/>
      </w:r>
    </w:p>
  </w:footnote>
  <w:footnote w:type="continuationSeparator" w:id="0">
    <w:p w14:paraId="1DA3CFB3" w14:textId="77777777" w:rsidR="00836E0F" w:rsidRDefault="0083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87FB" w14:textId="77777777" w:rsidR="00F10061" w:rsidRPr="003C528E" w:rsidRDefault="00F10061" w:rsidP="008E1D7F">
    <w:pPr>
      <w:pStyle w:val="Header"/>
      <w:jc w:val="right"/>
      <w:rPr>
        <w:rFonts w:ascii="Arial" w:hAnsi="Arial" w:cs="Arial"/>
        <w:i/>
      </w:rPr>
    </w:pPr>
  </w:p>
  <w:p w14:paraId="11FB8A45" w14:textId="77777777" w:rsidR="00994771" w:rsidRPr="001A3AB0" w:rsidRDefault="003D62B4" w:rsidP="008E1D7F">
    <w:pPr>
      <w:pStyle w:val="Header"/>
      <w:jc w:val="right"/>
      <w:rPr>
        <w:rFonts w:ascii="Arial" w:hAnsi="Arial" w:cs="Arial"/>
        <w:i/>
        <w:sz w:val="20"/>
        <w:szCs w:val="20"/>
      </w:rPr>
    </w:pPr>
    <w:r w:rsidRPr="001A3AB0">
      <w:rPr>
        <w:rFonts w:ascii="Arial" w:hAnsi="Arial" w:cs="Arial"/>
        <w:i/>
        <w:sz w:val="20"/>
        <w:szCs w:val="20"/>
      </w:rPr>
      <w:t>Radio 2</w:t>
    </w:r>
    <w:proofErr w:type="gramStart"/>
    <w:r w:rsidRPr="001A3AB0">
      <w:rPr>
        <w:rFonts w:ascii="Arial" w:hAnsi="Arial" w:cs="Arial"/>
        <w:i/>
        <w:sz w:val="20"/>
        <w:szCs w:val="20"/>
      </w:rPr>
      <w:t xml:space="preserve">RPH </w:t>
    </w:r>
    <w:r w:rsidR="00085779" w:rsidRPr="001A3AB0">
      <w:rPr>
        <w:rFonts w:ascii="Arial" w:hAnsi="Arial" w:cs="Arial"/>
        <w:i/>
        <w:sz w:val="20"/>
        <w:szCs w:val="20"/>
      </w:rPr>
      <w:t>:</w:t>
    </w:r>
    <w:proofErr w:type="gramEnd"/>
    <w:r w:rsidR="00085779" w:rsidRPr="001A3AB0">
      <w:rPr>
        <w:rFonts w:ascii="Arial" w:hAnsi="Arial" w:cs="Arial"/>
        <w:i/>
        <w:sz w:val="20"/>
        <w:szCs w:val="20"/>
      </w:rPr>
      <w:t xml:space="preserve"> </w:t>
    </w:r>
    <w:r w:rsidR="0013650F">
      <w:rPr>
        <w:rFonts w:ascii="Arial" w:hAnsi="Arial" w:cs="Arial"/>
        <w:i/>
        <w:sz w:val="20"/>
        <w:szCs w:val="20"/>
      </w:rPr>
      <w:fldChar w:fldCharType="begin"/>
    </w:r>
    <w:r w:rsidR="0013650F">
      <w:rPr>
        <w:rFonts w:ascii="Arial" w:hAnsi="Arial" w:cs="Arial"/>
        <w:i/>
        <w:sz w:val="20"/>
        <w:szCs w:val="20"/>
      </w:rPr>
      <w:instrText xml:space="preserve"> FILENAME   \* MERGEFORMAT </w:instrText>
    </w:r>
    <w:r w:rsidR="0013650F">
      <w:rPr>
        <w:rFonts w:ascii="Arial" w:hAnsi="Arial" w:cs="Arial"/>
        <w:i/>
        <w:sz w:val="20"/>
        <w:szCs w:val="20"/>
      </w:rPr>
      <w:fldChar w:fldCharType="separate"/>
    </w:r>
    <w:r w:rsidR="0013650F">
      <w:rPr>
        <w:rFonts w:ascii="Arial" w:hAnsi="Arial" w:cs="Arial"/>
        <w:i/>
        <w:noProof/>
        <w:sz w:val="20"/>
        <w:szCs w:val="20"/>
      </w:rPr>
      <w:t>Listener Complaints procedure</w:t>
    </w:r>
    <w:r w:rsidR="0013650F">
      <w:rPr>
        <w:rFonts w:ascii="Arial" w:hAnsi="Arial" w:cs="Arial"/>
        <w:i/>
        <w:sz w:val="20"/>
        <w:szCs w:val="20"/>
      </w:rPr>
      <w:fldChar w:fldCharType="end"/>
    </w:r>
  </w:p>
  <w:p w14:paraId="79F4239F" w14:textId="77777777" w:rsidR="003D62B4" w:rsidRPr="00193CDE" w:rsidRDefault="00DD1960" w:rsidP="003D62B4">
    <w:pPr>
      <w:pStyle w:val="Header"/>
      <w:jc w:val="right"/>
      <w:rPr>
        <w:rFonts w:ascii="Arial" w:hAnsi="Arial" w:cs="Arial"/>
        <w:i/>
        <w:color w:val="0000FF"/>
        <w:sz w:val="20"/>
        <w:szCs w:val="20"/>
      </w:rPr>
    </w:pPr>
    <w:r>
      <w:rPr>
        <w:rFonts w:ascii="Arial" w:hAnsi="Arial" w:cs="Arial"/>
        <w:i/>
        <w:noProof/>
        <w:color w:val="0000FF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59B532" wp14:editId="1589035A">
              <wp:simplePos x="0" y="0"/>
              <wp:positionH relativeFrom="column">
                <wp:posOffset>3200400</wp:posOffset>
              </wp:positionH>
              <wp:positionV relativeFrom="paragraph">
                <wp:posOffset>93980</wp:posOffset>
              </wp:positionV>
              <wp:extent cx="2743200" cy="0"/>
              <wp:effectExtent l="9525" t="8255" r="9525" b="107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36FA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J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JY/4A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9D3"/>
    <w:multiLevelType w:val="hybridMultilevel"/>
    <w:tmpl w:val="49EC51B0"/>
    <w:lvl w:ilvl="0" w:tplc="F28213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3208"/>
    <w:multiLevelType w:val="hybridMultilevel"/>
    <w:tmpl w:val="4F46C942"/>
    <w:lvl w:ilvl="0" w:tplc="ECDAEE74">
      <w:start w:val="1"/>
      <w:numFmt w:val="bullet"/>
      <w:lvlText w:val="▪"/>
      <w:lvlJc w:val="left"/>
      <w:pPr>
        <w:tabs>
          <w:tab w:val="num" w:pos="1020"/>
        </w:tabs>
        <w:ind w:left="1020" w:hanging="340"/>
      </w:pPr>
      <w:rPr>
        <w:rFonts w:ascii="Verdana" w:hAnsi="Verdana" w:hint="default"/>
        <w:color w:val="000000"/>
        <w:w w:val="0"/>
        <w:sz w:val="20"/>
        <w:szCs w:val="20"/>
      </w:rPr>
    </w:lvl>
    <w:lvl w:ilvl="1" w:tplc="CF56CA5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054A"/>
    <w:multiLevelType w:val="hybridMultilevel"/>
    <w:tmpl w:val="A35C80A0"/>
    <w:lvl w:ilvl="0" w:tplc="14E85DA2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auto"/>
        <w:w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0981"/>
    <w:multiLevelType w:val="hybridMultilevel"/>
    <w:tmpl w:val="7DC09268"/>
    <w:lvl w:ilvl="0" w:tplc="B030CA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37E6FF6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48CF"/>
    <w:multiLevelType w:val="hybridMultilevel"/>
    <w:tmpl w:val="F71693FC"/>
    <w:lvl w:ilvl="0" w:tplc="F12011FA">
      <w:start w:val="1"/>
      <w:numFmt w:val="bullet"/>
      <w:lvlText w:val="-"/>
      <w:lvlJc w:val="left"/>
      <w:pPr>
        <w:tabs>
          <w:tab w:val="num" w:pos="681"/>
        </w:tabs>
        <w:ind w:left="681" w:hanging="341"/>
      </w:pPr>
      <w:rPr>
        <w:rFonts w:ascii="Verdana" w:eastAsia="Times New Roman" w:hAnsi="Verdana" w:cs="Times New Roman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558A"/>
    <w:multiLevelType w:val="hybridMultilevel"/>
    <w:tmpl w:val="B7166E32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F1F4B"/>
    <w:multiLevelType w:val="hybridMultilevel"/>
    <w:tmpl w:val="91B0ADE8"/>
    <w:lvl w:ilvl="0" w:tplc="BA62D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F0042"/>
    <w:multiLevelType w:val="hybridMultilevel"/>
    <w:tmpl w:val="3F3EC276"/>
    <w:lvl w:ilvl="0" w:tplc="AD90E9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0E0781"/>
    <w:multiLevelType w:val="hybridMultilevel"/>
    <w:tmpl w:val="1BDE9386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1" w:tplc="CF56CA5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04DB"/>
    <w:multiLevelType w:val="multilevel"/>
    <w:tmpl w:val="E9C4C4E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A0D31"/>
    <w:multiLevelType w:val="hybridMultilevel"/>
    <w:tmpl w:val="A5DC520E"/>
    <w:lvl w:ilvl="0" w:tplc="73C48F12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sz w:val="18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6110"/>
    <w:multiLevelType w:val="hybridMultilevel"/>
    <w:tmpl w:val="9CA86212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F282136C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0000FF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3C7F"/>
    <w:multiLevelType w:val="hybridMultilevel"/>
    <w:tmpl w:val="1CF4FF16"/>
    <w:lvl w:ilvl="0" w:tplc="F1D06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66B30"/>
    <w:multiLevelType w:val="hybridMultilevel"/>
    <w:tmpl w:val="CD34FAC8"/>
    <w:lvl w:ilvl="0" w:tplc="F282136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63F53"/>
    <w:multiLevelType w:val="hybridMultilevel"/>
    <w:tmpl w:val="6BA065BE"/>
    <w:lvl w:ilvl="0" w:tplc="AD94A26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40EAF"/>
    <w:multiLevelType w:val="hybridMultilevel"/>
    <w:tmpl w:val="222A03F0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77F0"/>
    <w:multiLevelType w:val="hybridMultilevel"/>
    <w:tmpl w:val="0CA0DAA8"/>
    <w:lvl w:ilvl="0" w:tplc="25E2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41432"/>
    <w:multiLevelType w:val="hybridMultilevel"/>
    <w:tmpl w:val="F54CFA80"/>
    <w:lvl w:ilvl="0" w:tplc="DBD2BC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16"/>
        <w:szCs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F6C1C"/>
    <w:multiLevelType w:val="hybridMultilevel"/>
    <w:tmpl w:val="83F6E7C2"/>
    <w:lvl w:ilvl="0" w:tplc="25E2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0539"/>
    <w:multiLevelType w:val="hybridMultilevel"/>
    <w:tmpl w:val="33C4331A"/>
    <w:lvl w:ilvl="0" w:tplc="ECDAEE74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900A7"/>
    <w:multiLevelType w:val="hybridMultilevel"/>
    <w:tmpl w:val="655AA22A"/>
    <w:lvl w:ilvl="0" w:tplc="CF56CA50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9153A"/>
    <w:multiLevelType w:val="hybridMultilevel"/>
    <w:tmpl w:val="F3B8A0EA"/>
    <w:lvl w:ilvl="0" w:tplc="48BE205C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w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13996"/>
    <w:multiLevelType w:val="hybridMultilevel"/>
    <w:tmpl w:val="D79E797E"/>
    <w:lvl w:ilvl="0" w:tplc="B9684EA2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737409A"/>
    <w:multiLevelType w:val="hybridMultilevel"/>
    <w:tmpl w:val="15E68278"/>
    <w:lvl w:ilvl="0" w:tplc="4338358A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289A"/>
    <w:multiLevelType w:val="hybridMultilevel"/>
    <w:tmpl w:val="AA9490C0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A20CA"/>
    <w:multiLevelType w:val="hybridMultilevel"/>
    <w:tmpl w:val="23946BA0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9583A"/>
    <w:multiLevelType w:val="hybridMultilevel"/>
    <w:tmpl w:val="D2BE5FE6"/>
    <w:lvl w:ilvl="0" w:tplc="ECDAEE74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E1443"/>
    <w:multiLevelType w:val="multilevel"/>
    <w:tmpl w:val="EBCC992E"/>
    <w:name w:val="Black_Outline_Numbering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7"/>
        </w:tabs>
        <w:ind w:left="1417" w:hanging="708"/>
      </w:pPr>
      <w:rPr>
        <w:rFonts w:ascii="Arial" w:hAnsi="Arial" w:cs="Times New Roman" w:hint="default"/>
        <w:b/>
        <w:i w:val="0"/>
        <w:color w:val="auto"/>
        <w:sz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9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543"/>
        </w:tabs>
        <w:ind w:left="3543" w:hanging="708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252"/>
        </w:tabs>
        <w:ind w:left="4252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none"/>
      <w:pStyle w:val="Heading7"/>
      <w:lvlText w:val="%7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7">
      <w:start w:val="1"/>
      <w:numFmt w:val="none"/>
      <w:pStyle w:val="Heading8"/>
      <w:lvlText w:val="%8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8">
      <w:start w:val="1"/>
      <w:numFmt w:val="none"/>
      <w:pStyle w:val="Heading9"/>
      <w:lvlText w:val="%9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28" w15:restartNumberingAfterBreak="0">
    <w:nsid w:val="4BDE3F8F"/>
    <w:multiLevelType w:val="hybridMultilevel"/>
    <w:tmpl w:val="6C628C96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9102B"/>
    <w:multiLevelType w:val="hybridMultilevel"/>
    <w:tmpl w:val="0F12676C"/>
    <w:lvl w:ilvl="0" w:tplc="CF56CA5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cs="Times New Roman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33797"/>
    <w:multiLevelType w:val="hybridMultilevel"/>
    <w:tmpl w:val="B0D46326"/>
    <w:lvl w:ilvl="0" w:tplc="25E2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04126"/>
    <w:multiLevelType w:val="hybridMultilevel"/>
    <w:tmpl w:val="40DA443E"/>
    <w:lvl w:ilvl="0" w:tplc="FD787132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F632949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E6DA8"/>
    <w:multiLevelType w:val="hybridMultilevel"/>
    <w:tmpl w:val="08227514"/>
    <w:lvl w:ilvl="0" w:tplc="DBD2BC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16"/>
        <w:szCs w:val="2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C52EAA"/>
    <w:multiLevelType w:val="hybridMultilevel"/>
    <w:tmpl w:val="BAAAB5F8"/>
    <w:lvl w:ilvl="0" w:tplc="FD787132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15F99"/>
    <w:multiLevelType w:val="hybridMultilevel"/>
    <w:tmpl w:val="5600B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81C26"/>
    <w:multiLevelType w:val="hybridMultilevel"/>
    <w:tmpl w:val="34FACA26"/>
    <w:lvl w:ilvl="0" w:tplc="25E2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A72A0"/>
    <w:multiLevelType w:val="hybridMultilevel"/>
    <w:tmpl w:val="4808CA30"/>
    <w:lvl w:ilvl="0" w:tplc="0EF40FA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753F1"/>
    <w:multiLevelType w:val="hybridMultilevel"/>
    <w:tmpl w:val="FDF8A180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C7889"/>
    <w:multiLevelType w:val="hybridMultilevel"/>
    <w:tmpl w:val="ED0437A0"/>
    <w:lvl w:ilvl="0" w:tplc="48BE205C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w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60E93"/>
    <w:multiLevelType w:val="hybridMultilevel"/>
    <w:tmpl w:val="A064B5B2"/>
    <w:lvl w:ilvl="0" w:tplc="D39C9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07CE8"/>
    <w:multiLevelType w:val="hybridMultilevel"/>
    <w:tmpl w:val="60FCFC08"/>
    <w:lvl w:ilvl="0" w:tplc="C088A2C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A6F6B"/>
    <w:multiLevelType w:val="hybridMultilevel"/>
    <w:tmpl w:val="63E01200"/>
    <w:lvl w:ilvl="0" w:tplc="73C48F12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w w:val="0"/>
        <w:sz w:val="18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688B61DF"/>
    <w:multiLevelType w:val="hybridMultilevel"/>
    <w:tmpl w:val="289EBB9A"/>
    <w:lvl w:ilvl="0" w:tplc="7EA4D60C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auto"/>
        <w:w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A621D"/>
    <w:multiLevelType w:val="hybridMultilevel"/>
    <w:tmpl w:val="A228789E"/>
    <w:lvl w:ilvl="0" w:tplc="ECDAEE74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F06FD8"/>
    <w:multiLevelType w:val="hybridMultilevel"/>
    <w:tmpl w:val="A7A4C812"/>
    <w:lvl w:ilvl="0" w:tplc="D18EBAF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90063"/>
    <w:multiLevelType w:val="hybridMultilevel"/>
    <w:tmpl w:val="0A78F3BC"/>
    <w:lvl w:ilvl="0" w:tplc="277AF4B8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1" w:tplc="CF56CA5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Verdana" w:hAnsi="Verdana" w:cs="Times New Roman" w:hint="default"/>
        <w:color w:val="000000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6335C"/>
    <w:multiLevelType w:val="hybridMultilevel"/>
    <w:tmpl w:val="043E1C02"/>
    <w:lvl w:ilvl="0" w:tplc="9ED4D0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0666E0"/>
    <w:multiLevelType w:val="hybridMultilevel"/>
    <w:tmpl w:val="B5A4DDAC"/>
    <w:lvl w:ilvl="0" w:tplc="9ED4D0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C2F70"/>
    <w:multiLevelType w:val="hybridMultilevel"/>
    <w:tmpl w:val="350A1B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12C8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40"/>
  </w:num>
  <w:num w:numId="4">
    <w:abstractNumId w:val="3"/>
  </w:num>
  <w:num w:numId="5">
    <w:abstractNumId w:val="34"/>
  </w:num>
  <w:num w:numId="6">
    <w:abstractNumId w:val="28"/>
  </w:num>
  <w:num w:numId="7">
    <w:abstractNumId w:val="32"/>
  </w:num>
  <w:num w:numId="8">
    <w:abstractNumId w:val="25"/>
  </w:num>
  <w:num w:numId="9">
    <w:abstractNumId w:val="39"/>
  </w:num>
  <w:num w:numId="10">
    <w:abstractNumId w:val="24"/>
  </w:num>
  <w:num w:numId="11">
    <w:abstractNumId w:val="37"/>
  </w:num>
  <w:num w:numId="12">
    <w:abstractNumId w:val="5"/>
  </w:num>
  <w:num w:numId="13">
    <w:abstractNumId w:val="17"/>
  </w:num>
  <w:num w:numId="14">
    <w:abstractNumId w:val="46"/>
  </w:num>
  <w:num w:numId="15">
    <w:abstractNumId w:val="47"/>
  </w:num>
  <w:num w:numId="16">
    <w:abstractNumId w:val="12"/>
  </w:num>
  <w:num w:numId="17">
    <w:abstractNumId w:val="13"/>
  </w:num>
  <w:num w:numId="18">
    <w:abstractNumId w:val="36"/>
  </w:num>
  <w:num w:numId="19">
    <w:abstractNumId w:val="22"/>
  </w:num>
  <w:num w:numId="20">
    <w:abstractNumId w:val="44"/>
  </w:num>
  <w:num w:numId="21">
    <w:abstractNumId w:val="4"/>
  </w:num>
  <w:num w:numId="22">
    <w:abstractNumId w:val="29"/>
  </w:num>
  <w:num w:numId="23">
    <w:abstractNumId w:val="15"/>
  </w:num>
  <w:num w:numId="24">
    <w:abstractNumId w:val="23"/>
  </w:num>
  <w:num w:numId="25">
    <w:abstractNumId w:val="0"/>
  </w:num>
  <w:num w:numId="26">
    <w:abstractNumId w:val="11"/>
  </w:num>
  <w:num w:numId="27">
    <w:abstractNumId w:val="20"/>
  </w:num>
  <w:num w:numId="28">
    <w:abstractNumId w:val="8"/>
  </w:num>
  <w:num w:numId="29">
    <w:abstractNumId w:val="45"/>
  </w:num>
  <w:num w:numId="30">
    <w:abstractNumId w:val="41"/>
  </w:num>
  <w:num w:numId="31">
    <w:abstractNumId w:val="10"/>
  </w:num>
  <w:num w:numId="32">
    <w:abstractNumId w:val="19"/>
  </w:num>
  <w:num w:numId="33">
    <w:abstractNumId w:val="43"/>
  </w:num>
  <w:num w:numId="34">
    <w:abstractNumId w:val="26"/>
  </w:num>
  <w:num w:numId="35">
    <w:abstractNumId w:val="1"/>
  </w:num>
  <w:num w:numId="36">
    <w:abstractNumId w:val="42"/>
  </w:num>
  <w:num w:numId="37">
    <w:abstractNumId w:val="21"/>
  </w:num>
  <w:num w:numId="38">
    <w:abstractNumId w:val="2"/>
  </w:num>
  <w:num w:numId="39">
    <w:abstractNumId w:val="38"/>
  </w:num>
  <w:num w:numId="40">
    <w:abstractNumId w:val="30"/>
  </w:num>
  <w:num w:numId="41">
    <w:abstractNumId w:val="18"/>
  </w:num>
  <w:num w:numId="42">
    <w:abstractNumId w:val="16"/>
  </w:num>
  <w:num w:numId="43">
    <w:abstractNumId w:val="35"/>
  </w:num>
  <w:num w:numId="44">
    <w:abstractNumId w:val="14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2B"/>
    <w:rsid w:val="000011F5"/>
    <w:rsid w:val="00004D56"/>
    <w:rsid w:val="000114A1"/>
    <w:rsid w:val="00026D76"/>
    <w:rsid w:val="000337F5"/>
    <w:rsid w:val="0003723A"/>
    <w:rsid w:val="00040101"/>
    <w:rsid w:val="00045D3E"/>
    <w:rsid w:val="00046370"/>
    <w:rsid w:val="00046753"/>
    <w:rsid w:val="00046ACC"/>
    <w:rsid w:val="000473B0"/>
    <w:rsid w:val="000650A3"/>
    <w:rsid w:val="000668C8"/>
    <w:rsid w:val="00070471"/>
    <w:rsid w:val="00076F0D"/>
    <w:rsid w:val="00081B15"/>
    <w:rsid w:val="00083A5C"/>
    <w:rsid w:val="00084E67"/>
    <w:rsid w:val="00085779"/>
    <w:rsid w:val="00087B2E"/>
    <w:rsid w:val="000928A8"/>
    <w:rsid w:val="000951FD"/>
    <w:rsid w:val="00096EF6"/>
    <w:rsid w:val="000A23C6"/>
    <w:rsid w:val="000A35D2"/>
    <w:rsid w:val="000B0E14"/>
    <w:rsid w:val="000B1DB2"/>
    <w:rsid w:val="000B5935"/>
    <w:rsid w:val="000C092E"/>
    <w:rsid w:val="000D119B"/>
    <w:rsid w:val="000D1A91"/>
    <w:rsid w:val="000D3B1B"/>
    <w:rsid w:val="000E4885"/>
    <w:rsid w:val="000F0A8F"/>
    <w:rsid w:val="000F7961"/>
    <w:rsid w:val="00101026"/>
    <w:rsid w:val="0010474E"/>
    <w:rsid w:val="00123371"/>
    <w:rsid w:val="0012556E"/>
    <w:rsid w:val="00125B12"/>
    <w:rsid w:val="00131EEC"/>
    <w:rsid w:val="0013650F"/>
    <w:rsid w:val="00142485"/>
    <w:rsid w:val="00153FFA"/>
    <w:rsid w:val="00174830"/>
    <w:rsid w:val="00176863"/>
    <w:rsid w:val="00184C74"/>
    <w:rsid w:val="001936B1"/>
    <w:rsid w:val="00193CDE"/>
    <w:rsid w:val="00194867"/>
    <w:rsid w:val="00194B86"/>
    <w:rsid w:val="001A009E"/>
    <w:rsid w:val="001A3AB0"/>
    <w:rsid w:val="001A58CF"/>
    <w:rsid w:val="001B226C"/>
    <w:rsid w:val="001B2FBB"/>
    <w:rsid w:val="001B75BE"/>
    <w:rsid w:val="001B7A45"/>
    <w:rsid w:val="001B7E95"/>
    <w:rsid w:val="001C248C"/>
    <w:rsid w:val="001C2B1F"/>
    <w:rsid w:val="001C69E5"/>
    <w:rsid w:val="001D33E9"/>
    <w:rsid w:val="001D73E4"/>
    <w:rsid w:val="001E5431"/>
    <w:rsid w:val="001E6F32"/>
    <w:rsid w:val="001F4AE6"/>
    <w:rsid w:val="00200620"/>
    <w:rsid w:val="00203341"/>
    <w:rsid w:val="00205D92"/>
    <w:rsid w:val="00213A7E"/>
    <w:rsid w:val="002168FB"/>
    <w:rsid w:val="002175F3"/>
    <w:rsid w:val="002229E8"/>
    <w:rsid w:val="00224C0C"/>
    <w:rsid w:val="00225E11"/>
    <w:rsid w:val="0022772F"/>
    <w:rsid w:val="002649F0"/>
    <w:rsid w:val="00271D2F"/>
    <w:rsid w:val="00280001"/>
    <w:rsid w:val="00286453"/>
    <w:rsid w:val="00291804"/>
    <w:rsid w:val="0029419C"/>
    <w:rsid w:val="00295065"/>
    <w:rsid w:val="002965D8"/>
    <w:rsid w:val="002A5348"/>
    <w:rsid w:val="002A60D7"/>
    <w:rsid w:val="002B025B"/>
    <w:rsid w:val="002B6CE0"/>
    <w:rsid w:val="002C32D2"/>
    <w:rsid w:val="002C3E66"/>
    <w:rsid w:val="002E51D3"/>
    <w:rsid w:val="002F1287"/>
    <w:rsid w:val="002F730F"/>
    <w:rsid w:val="00300F72"/>
    <w:rsid w:val="00302F73"/>
    <w:rsid w:val="00303605"/>
    <w:rsid w:val="00316A04"/>
    <w:rsid w:val="00321943"/>
    <w:rsid w:val="00332229"/>
    <w:rsid w:val="0033550D"/>
    <w:rsid w:val="0033655E"/>
    <w:rsid w:val="00341248"/>
    <w:rsid w:val="00342A82"/>
    <w:rsid w:val="00342C87"/>
    <w:rsid w:val="00345BF9"/>
    <w:rsid w:val="0035452C"/>
    <w:rsid w:val="0037162B"/>
    <w:rsid w:val="00380148"/>
    <w:rsid w:val="00392F43"/>
    <w:rsid w:val="0039311B"/>
    <w:rsid w:val="00394FC5"/>
    <w:rsid w:val="00396C39"/>
    <w:rsid w:val="003A09AF"/>
    <w:rsid w:val="003A1BB6"/>
    <w:rsid w:val="003A2FD2"/>
    <w:rsid w:val="003A69B3"/>
    <w:rsid w:val="003B5686"/>
    <w:rsid w:val="003C363F"/>
    <w:rsid w:val="003C528E"/>
    <w:rsid w:val="003C7FA4"/>
    <w:rsid w:val="003D5C02"/>
    <w:rsid w:val="003D62B4"/>
    <w:rsid w:val="003E68E0"/>
    <w:rsid w:val="003E6C87"/>
    <w:rsid w:val="003F2000"/>
    <w:rsid w:val="003F2201"/>
    <w:rsid w:val="003F2813"/>
    <w:rsid w:val="003F2DE2"/>
    <w:rsid w:val="00404029"/>
    <w:rsid w:val="004129A0"/>
    <w:rsid w:val="00413B68"/>
    <w:rsid w:val="004141F3"/>
    <w:rsid w:val="004179BE"/>
    <w:rsid w:val="00420DFC"/>
    <w:rsid w:val="0042368A"/>
    <w:rsid w:val="00426477"/>
    <w:rsid w:val="0042667B"/>
    <w:rsid w:val="00430EDC"/>
    <w:rsid w:val="00435915"/>
    <w:rsid w:val="004416FA"/>
    <w:rsid w:val="004502BE"/>
    <w:rsid w:val="00452F2A"/>
    <w:rsid w:val="00453730"/>
    <w:rsid w:val="00453D87"/>
    <w:rsid w:val="0047164F"/>
    <w:rsid w:val="004731B3"/>
    <w:rsid w:val="00474782"/>
    <w:rsid w:val="004752F5"/>
    <w:rsid w:val="00476977"/>
    <w:rsid w:val="00480BD0"/>
    <w:rsid w:val="0049024F"/>
    <w:rsid w:val="00491630"/>
    <w:rsid w:val="004B200B"/>
    <w:rsid w:val="004C76BD"/>
    <w:rsid w:val="004D0302"/>
    <w:rsid w:val="004D47CB"/>
    <w:rsid w:val="004D6F8A"/>
    <w:rsid w:val="004D7900"/>
    <w:rsid w:val="004F2AC5"/>
    <w:rsid w:val="004F5F49"/>
    <w:rsid w:val="004F74A4"/>
    <w:rsid w:val="00501C7D"/>
    <w:rsid w:val="005040F3"/>
    <w:rsid w:val="00505418"/>
    <w:rsid w:val="00520678"/>
    <w:rsid w:val="00520D33"/>
    <w:rsid w:val="005224A6"/>
    <w:rsid w:val="0052616C"/>
    <w:rsid w:val="005310C7"/>
    <w:rsid w:val="00537829"/>
    <w:rsid w:val="00537D4E"/>
    <w:rsid w:val="00553F64"/>
    <w:rsid w:val="00555771"/>
    <w:rsid w:val="00567A57"/>
    <w:rsid w:val="005705D0"/>
    <w:rsid w:val="00574317"/>
    <w:rsid w:val="00576BD3"/>
    <w:rsid w:val="00577922"/>
    <w:rsid w:val="00581EE9"/>
    <w:rsid w:val="00582E74"/>
    <w:rsid w:val="00591628"/>
    <w:rsid w:val="005944BD"/>
    <w:rsid w:val="005A191C"/>
    <w:rsid w:val="005A4FA3"/>
    <w:rsid w:val="005A5E0B"/>
    <w:rsid w:val="005A7D09"/>
    <w:rsid w:val="005C15C7"/>
    <w:rsid w:val="005C1E34"/>
    <w:rsid w:val="005C40F1"/>
    <w:rsid w:val="005C5D92"/>
    <w:rsid w:val="005E2721"/>
    <w:rsid w:val="005E2E5B"/>
    <w:rsid w:val="005F30E8"/>
    <w:rsid w:val="005F32C8"/>
    <w:rsid w:val="005F6844"/>
    <w:rsid w:val="00600F4F"/>
    <w:rsid w:val="00605C2F"/>
    <w:rsid w:val="00605EE7"/>
    <w:rsid w:val="00610D4B"/>
    <w:rsid w:val="00614F5E"/>
    <w:rsid w:val="00622858"/>
    <w:rsid w:val="006561CA"/>
    <w:rsid w:val="00665CD5"/>
    <w:rsid w:val="00666552"/>
    <w:rsid w:val="0067006E"/>
    <w:rsid w:val="006912F3"/>
    <w:rsid w:val="00692957"/>
    <w:rsid w:val="00693A3E"/>
    <w:rsid w:val="00694086"/>
    <w:rsid w:val="00694DC6"/>
    <w:rsid w:val="006C1139"/>
    <w:rsid w:val="006C4990"/>
    <w:rsid w:val="006C6E82"/>
    <w:rsid w:val="006D1F30"/>
    <w:rsid w:val="006E6358"/>
    <w:rsid w:val="006F2099"/>
    <w:rsid w:val="006F22A6"/>
    <w:rsid w:val="006F44DC"/>
    <w:rsid w:val="006F66EC"/>
    <w:rsid w:val="007008FB"/>
    <w:rsid w:val="00710188"/>
    <w:rsid w:val="007354A6"/>
    <w:rsid w:val="00741C81"/>
    <w:rsid w:val="007432ED"/>
    <w:rsid w:val="00746D3F"/>
    <w:rsid w:val="00750BA1"/>
    <w:rsid w:val="00755F7E"/>
    <w:rsid w:val="007611BA"/>
    <w:rsid w:val="00761AA3"/>
    <w:rsid w:val="00766405"/>
    <w:rsid w:val="0077454D"/>
    <w:rsid w:val="00777C02"/>
    <w:rsid w:val="007811AA"/>
    <w:rsid w:val="007905CC"/>
    <w:rsid w:val="007968B3"/>
    <w:rsid w:val="00797D1D"/>
    <w:rsid w:val="007A1CEB"/>
    <w:rsid w:val="007B23EC"/>
    <w:rsid w:val="007C0DD7"/>
    <w:rsid w:val="007C16B6"/>
    <w:rsid w:val="007C18D9"/>
    <w:rsid w:val="007C3EA7"/>
    <w:rsid w:val="007C4666"/>
    <w:rsid w:val="007C513C"/>
    <w:rsid w:val="007D44D1"/>
    <w:rsid w:val="007D59B2"/>
    <w:rsid w:val="007E0B8B"/>
    <w:rsid w:val="007F150C"/>
    <w:rsid w:val="007F34B3"/>
    <w:rsid w:val="007F67D7"/>
    <w:rsid w:val="00801042"/>
    <w:rsid w:val="00815C4D"/>
    <w:rsid w:val="00830860"/>
    <w:rsid w:val="00836E0F"/>
    <w:rsid w:val="008403DB"/>
    <w:rsid w:val="008423FA"/>
    <w:rsid w:val="00844272"/>
    <w:rsid w:val="00851B04"/>
    <w:rsid w:val="00855576"/>
    <w:rsid w:val="008657A8"/>
    <w:rsid w:val="00865DE5"/>
    <w:rsid w:val="00870FA3"/>
    <w:rsid w:val="00874468"/>
    <w:rsid w:val="00875357"/>
    <w:rsid w:val="00880824"/>
    <w:rsid w:val="00883B8A"/>
    <w:rsid w:val="008A6643"/>
    <w:rsid w:val="008B6874"/>
    <w:rsid w:val="008C49E8"/>
    <w:rsid w:val="008D3F2F"/>
    <w:rsid w:val="008E192C"/>
    <w:rsid w:val="008E1D7F"/>
    <w:rsid w:val="008E269F"/>
    <w:rsid w:val="008E5C1F"/>
    <w:rsid w:val="008E65F0"/>
    <w:rsid w:val="00903704"/>
    <w:rsid w:val="00903BDA"/>
    <w:rsid w:val="009108DC"/>
    <w:rsid w:val="0091154A"/>
    <w:rsid w:val="00913063"/>
    <w:rsid w:val="009268C4"/>
    <w:rsid w:val="009321FA"/>
    <w:rsid w:val="0093709E"/>
    <w:rsid w:val="00940A82"/>
    <w:rsid w:val="009418F7"/>
    <w:rsid w:val="00947586"/>
    <w:rsid w:val="009576B9"/>
    <w:rsid w:val="00967E62"/>
    <w:rsid w:val="00973B7B"/>
    <w:rsid w:val="00976E15"/>
    <w:rsid w:val="009916FF"/>
    <w:rsid w:val="00992E34"/>
    <w:rsid w:val="00994771"/>
    <w:rsid w:val="009A00DE"/>
    <w:rsid w:val="009A05D2"/>
    <w:rsid w:val="009A3986"/>
    <w:rsid w:val="009A682B"/>
    <w:rsid w:val="009A7E83"/>
    <w:rsid w:val="009B37FD"/>
    <w:rsid w:val="009C3EBB"/>
    <w:rsid w:val="009C4EB6"/>
    <w:rsid w:val="009C7515"/>
    <w:rsid w:val="009D25CF"/>
    <w:rsid w:val="009D3CDB"/>
    <w:rsid w:val="009E0955"/>
    <w:rsid w:val="009E445D"/>
    <w:rsid w:val="009F1736"/>
    <w:rsid w:val="00A02454"/>
    <w:rsid w:val="00A0303A"/>
    <w:rsid w:val="00A067D8"/>
    <w:rsid w:val="00A07CF0"/>
    <w:rsid w:val="00A1031F"/>
    <w:rsid w:val="00A114FE"/>
    <w:rsid w:val="00A13839"/>
    <w:rsid w:val="00A21592"/>
    <w:rsid w:val="00A24359"/>
    <w:rsid w:val="00A30B7F"/>
    <w:rsid w:val="00A31BB0"/>
    <w:rsid w:val="00A327D2"/>
    <w:rsid w:val="00A36281"/>
    <w:rsid w:val="00A400E6"/>
    <w:rsid w:val="00A4209E"/>
    <w:rsid w:val="00A43A17"/>
    <w:rsid w:val="00A60985"/>
    <w:rsid w:val="00A67C6A"/>
    <w:rsid w:val="00A71DD3"/>
    <w:rsid w:val="00A72D68"/>
    <w:rsid w:val="00A7312D"/>
    <w:rsid w:val="00A763FB"/>
    <w:rsid w:val="00A82B9C"/>
    <w:rsid w:val="00A861A6"/>
    <w:rsid w:val="00A946FA"/>
    <w:rsid w:val="00A95804"/>
    <w:rsid w:val="00AA1C3A"/>
    <w:rsid w:val="00AA574D"/>
    <w:rsid w:val="00AB4F24"/>
    <w:rsid w:val="00AB565E"/>
    <w:rsid w:val="00AB78FC"/>
    <w:rsid w:val="00AC3715"/>
    <w:rsid w:val="00AC73A4"/>
    <w:rsid w:val="00AD774F"/>
    <w:rsid w:val="00AE62A9"/>
    <w:rsid w:val="00AF23E0"/>
    <w:rsid w:val="00AF4F84"/>
    <w:rsid w:val="00AF5917"/>
    <w:rsid w:val="00AF5E6B"/>
    <w:rsid w:val="00B022E7"/>
    <w:rsid w:val="00B04955"/>
    <w:rsid w:val="00B04BE5"/>
    <w:rsid w:val="00B14EF0"/>
    <w:rsid w:val="00B200B2"/>
    <w:rsid w:val="00B26043"/>
    <w:rsid w:val="00B35292"/>
    <w:rsid w:val="00B4149B"/>
    <w:rsid w:val="00B420F0"/>
    <w:rsid w:val="00B4270C"/>
    <w:rsid w:val="00B462D9"/>
    <w:rsid w:val="00B4638E"/>
    <w:rsid w:val="00B51523"/>
    <w:rsid w:val="00B5340D"/>
    <w:rsid w:val="00B53946"/>
    <w:rsid w:val="00B57364"/>
    <w:rsid w:val="00B62E9C"/>
    <w:rsid w:val="00B66889"/>
    <w:rsid w:val="00B713C6"/>
    <w:rsid w:val="00B74A55"/>
    <w:rsid w:val="00B81DCC"/>
    <w:rsid w:val="00B9132E"/>
    <w:rsid w:val="00B9345E"/>
    <w:rsid w:val="00B9657A"/>
    <w:rsid w:val="00B97B02"/>
    <w:rsid w:val="00BA1C58"/>
    <w:rsid w:val="00BB1C93"/>
    <w:rsid w:val="00BB74D0"/>
    <w:rsid w:val="00BC39F0"/>
    <w:rsid w:val="00BC6D41"/>
    <w:rsid w:val="00BC7F7A"/>
    <w:rsid w:val="00BD3351"/>
    <w:rsid w:val="00BD4DA2"/>
    <w:rsid w:val="00BE16C9"/>
    <w:rsid w:val="00BE296C"/>
    <w:rsid w:val="00BF5AC3"/>
    <w:rsid w:val="00C03AF2"/>
    <w:rsid w:val="00C0519A"/>
    <w:rsid w:val="00C05F57"/>
    <w:rsid w:val="00C06CC0"/>
    <w:rsid w:val="00C172FA"/>
    <w:rsid w:val="00C21140"/>
    <w:rsid w:val="00C24350"/>
    <w:rsid w:val="00C344FD"/>
    <w:rsid w:val="00C36563"/>
    <w:rsid w:val="00C3673A"/>
    <w:rsid w:val="00C421C1"/>
    <w:rsid w:val="00C42414"/>
    <w:rsid w:val="00C45217"/>
    <w:rsid w:val="00C45C13"/>
    <w:rsid w:val="00C46228"/>
    <w:rsid w:val="00C46792"/>
    <w:rsid w:val="00C50433"/>
    <w:rsid w:val="00C50B8E"/>
    <w:rsid w:val="00C51305"/>
    <w:rsid w:val="00C53AEE"/>
    <w:rsid w:val="00C5761A"/>
    <w:rsid w:val="00C60127"/>
    <w:rsid w:val="00C66116"/>
    <w:rsid w:val="00C74B07"/>
    <w:rsid w:val="00C902BC"/>
    <w:rsid w:val="00C9267B"/>
    <w:rsid w:val="00CB1154"/>
    <w:rsid w:val="00CC2332"/>
    <w:rsid w:val="00CC58BA"/>
    <w:rsid w:val="00CC657F"/>
    <w:rsid w:val="00CD30AF"/>
    <w:rsid w:val="00CE674B"/>
    <w:rsid w:val="00CF3116"/>
    <w:rsid w:val="00CF3314"/>
    <w:rsid w:val="00CF49F0"/>
    <w:rsid w:val="00D02EF8"/>
    <w:rsid w:val="00D0572B"/>
    <w:rsid w:val="00D05AD5"/>
    <w:rsid w:val="00D068FA"/>
    <w:rsid w:val="00D13D68"/>
    <w:rsid w:val="00D170CD"/>
    <w:rsid w:val="00D23102"/>
    <w:rsid w:val="00D2674C"/>
    <w:rsid w:val="00D37C3B"/>
    <w:rsid w:val="00D45BED"/>
    <w:rsid w:val="00D4653D"/>
    <w:rsid w:val="00D50E9E"/>
    <w:rsid w:val="00D560F3"/>
    <w:rsid w:val="00D6141D"/>
    <w:rsid w:val="00D63243"/>
    <w:rsid w:val="00D672A4"/>
    <w:rsid w:val="00D70A26"/>
    <w:rsid w:val="00D72A59"/>
    <w:rsid w:val="00D76FE4"/>
    <w:rsid w:val="00D77208"/>
    <w:rsid w:val="00D80100"/>
    <w:rsid w:val="00D812E2"/>
    <w:rsid w:val="00D85CFB"/>
    <w:rsid w:val="00DA0753"/>
    <w:rsid w:val="00DB0E68"/>
    <w:rsid w:val="00DB1631"/>
    <w:rsid w:val="00DB1F5D"/>
    <w:rsid w:val="00DB2AE3"/>
    <w:rsid w:val="00DD1960"/>
    <w:rsid w:val="00DD239E"/>
    <w:rsid w:val="00DD4888"/>
    <w:rsid w:val="00DE3CC4"/>
    <w:rsid w:val="00DF3E5B"/>
    <w:rsid w:val="00DF68E2"/>
    <w:rsid w:val="00E03BCD"/>
    <w:rsid w:val="00E1473D"/>
    <w:rsid w:val="00E3142A"/>
    <w:rsid w:val="00E3307F"/>
    <w:rsid w:val="00E33C13"/>
    <w:rsid w:val="00E36087"/>
    <w:rsid w:val="00E45792"/>
    <w:rsid w:val="00E47BE7"/>
    <w:rsid w:val="00E6060D"/>
    <w:rsid w:val="00E64199"/>
    <w:rsid w:val="00E65F27"/>
    <w:rsid w:val="00E70113"/>
    <w:rsid w:val="00E71AE1"/>
    <w:rsid w:val="00E730D7"/>
    <w:rsid w:val="00E838C0"/>
    <w:rsid w:val="00E85120"/>
    <w:rsid w:val="00E93426"/>
    <w:rsid w:val="00EA2D1E"/>
    <w:rsid w:val="00EA3643"/>
    <w:rsid w:val="00EB3F2D"/>
    <w:rsid w:val="00EC293F"/>
    <w:rsid w:val="00EC3031"/>
    <w:rsid w:val="00EC34DF"/>
    <w:rsid w:val="00EC4D86"/>
    <w:rsid w:val="00EC4E31"/>
    <w:rsid w:val="00EE6834"/>
    <w:rsid w:val="00EF1ADF"/>
    <w:rsid w:val="00EF2AEC"/>
    <w:rsid w:val="00F023F8"/>
    <w:rsid w:val="00F03FC9"/>
    <w:rsid w:val="00F058C2"/>
    <w:rsid w:val="00F06379"/>
    <w:rsid w:val="00F0671E"/>
    <w:rsid w:val="00F10061"/>
    <w:rsid w:val="00F14931"/>
    <w:rsid w:val="00F23ADA"/>
    <w:rsid w:val="00F2606B"/>
    <w:rsid w:val="00F30569"/>
    <w:rsid w:val="00F33345"/>
    <w:rsid w:val="00F4193C"/>
    <w:rsid w:val="00F4625F"/>
    <w:rsid w:val="00F528DC"/>
    <w:rsid w:val="00F532E2"/>
    <w:rsid w:val="00F546C6"/>
    <w:rsid w:val="00F62204"/>
    <w:rsid w:val="00F673A3"/>
    <w:rsid w:val="00F74C79"/>
    <w:rsid w:val="00F76D57"/>
    <w:rsid w:val="00F92726"/>
    <w:rsid w:val="00F93A70"/>
    <w:rsid w:val="00FB2F92"/>
    <w:rsid w:val="00FB5E6B"/>
    <w:rsid w:val="00FC169D"/>
    <w:rsid w:val="00FC7ECC"/>
    <w:rsid w:val="00FD29FB"/>
    <w:rsid w:val="00FE0865"/>
    <w:rsid w:val="00FE6D3C"/>
    <w:rsid w:val="00FF110F"/>
    <w:rsid w:val="00FF1474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306142"/>
  <w15:docId w15:val="{80E9048B-A4DC-4E69-ABA0-FCDC14C1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28E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47164F"/>
    <w:pPr>
      <w:keepNext/>
      <w:numPr>
        <w:numId w:val="45"/>
      </w:numPr>
      <w:outlineLvl w:val="0"/>
    </w:pPr>
    <w:rPr>
      <w:rFonts w:ascii="Arial" w:eastAsia="Times New Roman" w:hAnsi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164F"/>
    <w:pPr>
      <w:keepNext/>
      <w:numPr>
        <w:ilvl w:val="1"/>
        <w:numId w:val="45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164F"/>
    <w:pPr>
      <w:keepNext/>
      <w:numPr>
        <w:ilvl w:val="2"/>
        <w:numId w:val="45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164F"/>
    <w:pPr>
      <w:keepNext/>
      <w:numPr>
        <w:ilvl w:val="3"/>
        <w:numId w:val="45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164F"/>
    <w:pPr>
      <w:numPr>
        <w:ilvl w:val="4"/>
        <w:numId w:val="45"/>
      </w:num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164F"/>
    <w:pPr>
      <w:numPr>
        <w:ilvl w:val="5"/>
        <w:numId w:val="45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164F"/>
    <w:pPr>
      <w:numPr>
        <w:ilvl w:val="6"/>
        <w:numId w:val="45"/>
      </w:numPr>
      <w:spacing w:before="240" w:after="60"/>
      <w:outlineLvl w:val="6"/>
    </w:pPr>
    <w:rPr>
      <w:rFonts w:ascii="Times New Roman" w:eastAsia="Times New Roman" w:hAnsi="Times New Roman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164F"/>
    <w:pPr>
      <w:numPr>
        <w:ilvl w:val="7"/>
        <w:numId w:val="45"/>
      </w:numPr>
      <w:spacing w:before="240" w:after="60"/>
      <w:outlineLvl w:val="7"/>
    </w:pPr>
    <w:rPr>
      <w:rFonts w:ascii="Times New Roman" w:eastAsia="Times New Roman" w:hAnsi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164F"/>
    <w:pPr>
      <w:numPr>
        <w:ilvl w:val="8"/>
        <w:numId w:val="45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0572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9108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108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483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10061"/>
    <w:rPr>
      <w:sz w:val="24"/>
      <w:szCs w:val="24"/>
      <w:lang w:val="en-US" w:eastAsia="en-US"/>
    </w:rPr>
  </w:style>
  <w:style w:type="character" w:styleId="Hyperlink">
    <w:name w:val="Hyperlink"/>
    <w:rsid w:val="00F1006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672A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D672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lainTextChar">
    <w:name w:val="Plain Text Char"/>
    <w:link w:val="PlainText"/>
    <w:rsid w:val="00844272"/>
    <w:rPr>
      <w:rFonts w:ascii="Courier New" w:hAnsi="Courier New" w:cs="Courier New"/>
      <w:lang w:val="en-US" w:eastAsia="en-US"/>
    </w:rPr>
  </w:style>
  <w:style w:type="paragraph" w:customStyle="1" w:styleId="BNGHeading1">
    <w:name w:val="BNG Heading 1"/>
    <w:basedOn w:val="Normal"/>
    <w:qFormat/>
    <w:rsid w:val="003C528E"/>
    <w:pPr>
      <w:widowControl w:val="0"/>
      <w:pBdr>
        <w:bottom w:val="single" w:sz="4" w:space="1" w:color="E36C0A"/>
      </w:pBdr>
      <w:suppressAutoHyphens/>
      <w:autoSpaceDE w:val="0"/>
      <w:autoSpaceDN w:val="0"/>
      <w:adjustRightInd w:val="0"/>
      <w:spacing w:after="113" w:line="288" w:lineRule="auto"/>
      <w:textAlignment w:val="center"/>
      <w:outlineLvl w:val="0"/>
    </w:pPr>
    <w:rPr>
      <w:rFonts w:ascii="Arial" w:hAnsi="Arial" w:cs="Avenir-Book"/>
      <w:b/>
      <w:color w:val="D33211"/>
      <w:sz w:val="32"/>
      <w:szCs w:val="20"/>
      <w:lang w:val="en-GB"/>
    </w:rPr>
  </w:style>
  <w:style w:type="paragraph" w:customStyle="1" w:styleId="BNGHeading2">
    <w:name w:val="BNG Heading 2"/>
    <w:basedOn w:val="BNGHeading1"/>
    <w:qFormat/>
    <w:rsid w:val="003C528E"/>
    <w:pPr>
      <w:pBdr>
        <w:bottom w:val="none" w:sz="0" w:space="0" w:color="auto"/>
      </w:pBdr>
    </w:pPr>
    <w:rPr>
      <w:color w:val="002060"/>
      <w:sz w:val="28"/>
    </w:rPr>
  </w:style>
  <w:style w:type="paragraph" w:customStyle="1" w:styleId="BNGHeading3">
    <w:name w:val="BNG Heading 3"/>
    <w:basedOn w:val="BNGHeading2"/>
    <w:qFormat/>
    <w:rsid w:val="003C528E"/>
    <w:rPr>
      <w:b w:val="0"/>
      <w:sz w:val="24"/>
    </w:rPr>
  </w:style>
  <w:style w:type="paragraph" w:customStyle="1" w:styleId="BNGNormal">
    <w:name w:val="BNG Normal"/>
    <w:basedOn w:val="Normal"/>
    <w:link w:val="BNGNormalChar"/>
    <w:qFormat/>
    <w:rsid w:val="003C528E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venir-Book"/>
      <w:color w:val="40404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A35D2"/>
    <w:pPr>
      <w:numPr>
        <w:numId w:val="44"/>
      </w:numPr>
      <w:tabs>
        <w:tab w:val="num" w:pos="340"/>
      </w:tabs>
      <w:spacing w:after="180"/>
      <w:ind w:left="340" w:hanging="340"/>
      <w:contextualSpacing/>
    </w:pPr>
    <w:rPr>
      <w:color w:val="1F497D"/>
      <w:lang w:eastAsia="en-US"/>
    </w:rPr>
  </w:style>
  <w:style w:type="character" w:customStyle="1" w:styleId="Heading1Char">
    <w:name w:val="Heading 1 Char"/>
    <w:link w:val="Heading1"/>
    <w:rsid w:val="0047164F"/>
    <w:rPr>
      <w:rFonts w:ascii="Arial" w:eastAsia="Times New Roman" w:hAnsi="Arial"/>
      <w:b/>
      <w:bCs/>
      <w:sz w:val="24"/>
      <w:szCs w:val="24"/>
      <w:lang w:val="en-AU"/>
    </w:rPr>
  </w:style>
  <w:style w:type="character" w:customStyle="1" w:styleId="Heading2Char">
    <w:name w:val="Heading 2 Char"/>
    <w:link w:val="Heading2"/>
    <w:semiHidden/>
    <w:rsid w:val="0047164F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semiHidden/>
    <w:rsid w:val="0047164F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link w:val="Heading4"/>
    <w:semiHidden/>
    <w:rsid w:val="0047164F"/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semiHidden/>
    <w:rsid w:val="0047164F"/>
    <w:rPr>
      <w:rFonts w:ascii="Arial" w:eastAsia="Times New Roman" w:hAnsi="Arial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link w:val="Heading6"/>
    <w:semiHidden/>
    <w:rsid w:val="0047164F"/>
    <w:rPr>
      <w:rFonts w:ascii="Times New Roman" w:eastAsia="Times New Roman" w:hAnsi="Times New Roman"/>
      <w:b/>
      <w:bCs/>
      <w:sz w:val="22"/>
      <w:szCs w:val="22"/>
      <w:lang w:val="en-AU"/>
    </w:rPr>
  </w:style>
  <w:style w:type="character" w:customStyle="1" w:styleId="Heading7Char">
    <w:name w:val="Heading 7 Char"/>
    <w:link w:val="Heading7"/>
    <w:semiHidden/>
    <w:rsid w:val="0047164F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Heading8Char">
    <w:name w:val="Heading 8 Char"/>
    <w:link w:val="Heading8"/>
    <w:semiHidden/>
    <w:rsid w:val="0047164F"/>
    <w:rPr>
      <w:rFonts w:ascii="Times New Roman" w:eastAsia="Times New Roman" w:hAnsi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semiHidden/>
    <w:rsid w:val="0047164F"/>
    <w:rPr>
      <w:rFonts w:ascii="Arial" w:eastAsia="Times New Roman" w:hAnsi="Arial" w:cs="Arial"/>
      <w:sz w:val="22"/>
      <w:szCs w:val="22"/>
      <w:lang w:val="en-AU"/>
    </w:rPr>
  </w:style>
  <w:style w:type="character" w:customStyle="1" w:styleId="HeaderChar">
    <w:name w:val="Header Char"/>
    <w:link w:val="Header"/>
    <w:rsid w:val="0047164F"/>
    <w:rPr>
      <w:sz w:val="24"/>
      <w:szCs w:val="24"/>
      <w:lang w:val="en-AU" w:eastAsia="en-AU"/>
    </w:rPr>
  </w:style>
  <w:style w:type="character" w:customStyle="1" w:styleId="BNGNormalChar">
    <w:name w:val="BNG Normal Char"/>
    <w:link w:val="BNGNormal"/>
    <w:rsid w:val="002168FB"/>
    <w:rPr>
      <w:rFonts w:ascii="Arial" w:hAnsi="Arial" w:cs="Avenir-Book"/>
      <w:color w:val="404040"/>
      <w:lang w:val="en-GB" w:eastAsia="en-AU"/>
    </w:rPr>
  </w:style>
  <w:style w:type="character" w:styleId="CommentReference">
    <w:name w:val="annotation reference"/>
    <w:basedOn w:val="DefaultParagraphFont"/>
    <w:rsid w:val="00404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029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404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029"/>
    <w:rPr>
      <w:b/>
      <w:bCs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61AA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61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aa.org.au/News_And_Publications/Code-of-Practice/Codes-of-Practice-Appendix-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bo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MSO Policy Template</vt:lpstr>
    </vt:vector>
  </TitlesOfParts>
  <Company>Microsoft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MSO Policy Template</dc:title>
  <dc:subject/>
  <dc:creator>Bradfield Nyland Group</dc:creator>
  <cp:keywords/>
  <cp:lastModifiedBy>Danielle Hanrahan</cp:lastModifiedBy>
  <cp:revision>2</cp:revision>
  <cp:lastPrinted>2015-12-31T04:49:00Z</cp:lastPrinted>
  <dcterms:created xsi:type="dcterms:W3CDTF">2018-06-05T23:44:00Z</dcterms:created>
  <dcterms:modified xsi:type="dcterms:W3CDTF">2018-06-05T23:44:00Z</dcterms:modified>
</cp:coreProperties>
</file>