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Anthea Williams.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Has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Minneapolis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their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artist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works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thought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hold-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 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Minneapolis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cisgender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its local community?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Certainly.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um,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really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explode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we're getting into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the company?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accident,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) I,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inertia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disa-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hard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how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we,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),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So that,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intricacies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cou-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 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cerebral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like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building, you looked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get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disability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1/3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who's,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well.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is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brochure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access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exploiting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(laughs),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you,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nature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a-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person with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fantastic.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Mixed Blood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Margins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Gruesome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the, the, the,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the,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couple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playwright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00:20:27]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know, but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their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their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plays that they've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 mean, I, I think,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end of 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Handicapped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Amateur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PHAMALy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PHAMALy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PHAMALy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(laughs)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PHAMALy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00:25:02]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there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Regan,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Regan Linton: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thanks.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first day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Suzanne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[Ball 00:25:57]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Sunflower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Hawkes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Asphyxia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Duffield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Asphyxia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they're,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chameleon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Singapore's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tribe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chameleon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spearheaded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Canberra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Canberra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21,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terms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Cormac: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210813 Activated Arts Ep 12 Radical Hospitality via Mixed Blood theatr...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13,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