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310A34" w14:textId="4AAA0E43" w:rsidR="00D077E9" w:rsidRDefault="00CC114C" w:rsidP="00D70D02">
      <w:r>
        <w:rPr>
          <w:noProof/>
        </w:rPr>
        <mc:AlternateContent>
          <mc:Choice Requires="wps">
            <w:drawing>
              <wp:anchor distT="0" distB="0" distL="114300" distR="114300" simplePos="0" relativeHeight="251663360" behindDoc="0" locked="0" layoutInCell="1" allowOverlap="1" wp14:anchorId="78F2039E" wp14:editId="203411E7">
                <wp:simplePos x="0" y="0"/>
                <wp:positionH relativeFrom="column">
                  <wp:posOffset>87630</wp:posOffset>
                </wp:positionH>
                <wp:positionV relativeFrom="paragraph">
                  <wp:posOffset>120015</wp:posOffset>
                </wp:positionV>
                <wp:extent cx="3419475" cy="4800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419475" cy="4800600"/>
                        </a:xfrm>
                        <a:prstGeom prst="rect">
                          <a:avLst/>
                        </a:prstGeom>
                        <a:solidFill>
                          <a:schemeClr val="lt1"/>
                        </a:solidFill>
                        <a:ln w="6350">
                          <a:solidFill>
                            <a:prstClr val="black"/>
                          </a:solidFill>
                        </a:ln>
                      </wps:spPr>
                      <wps:txbx>
                        <w:txbxContent>
                          <w:p w14:paraId="46800F37" w14:textId="0A32E65F" w:rsidR="00CC114C" w:rsidRDefault="007A65E7">
                            <w:pPr>
                              <w:rPr>
                                <w:rFonts w:asciiTheme="majorHAnsi" w:hAnsiTheme="majorHAnsi" w:cstheme="majorHAnsi"/>
                                <w:color w:val="013A57" w:themeColor="accent1" w:themeShade="BF"/>
                                <w:sz w:val="72"/>
                                <w:szCs w:val="72"/>
                                <w:lang w:val="en-AU"/>
                              </w:rPr>
                            </w:pPr>
                            <w:r>
                              <w:rPr>
                                <w:rFonts w:asciiTheme="majorHAnsi" w:hAnsiTheme="majorHAnsi" w:cstheme="majorHAnsi"/>
                                <w:color w:val="013A57" w:themeColor="accent1" w:themeShade="BF"/>
                                <w:sz w:val="72"/>
                                <w:szCs w:val="72"/>
                                <w:lang w:val="en-AU"/>
                              </w:rPr>
                              <w:t xml:space="preserve">2RPH </w:t>
                            </w:r>
                            <w:r w:rsidR="00CC114C">
                              <w:rPr>
                                <w:rFonts w:asciiTheme="majorHAnsi" w:hAnsiTheme="majorHAnsi" w:cstheme="majorHAnsi"/>
                                <w:color w:val="013A57" w:themeColor="accent1" w:themeShade="BF"/>
                                <w:sz w:val="72"/>
                                <w:szCs w:val="72"/>
                                <w:lang w:val="en-AU"/>
                              </w:rPr>
                              <w:t>2018-19</w:t>
                            </w:r>
                          </w:p>
                          <w:p w14:paraId="7803CDC7" w14:textId="1BFB5560" w:rsidR="00CC114C" w:rsidRDefault="00CC114C">
                            <w:pPr>
                              <w:rPr>
                                <w:rFonts w:asciiTheme="majorHAnsi" w:hAnsiTheme="majorHAnsi" w:cstheme="majorHAnsi"/>
                                <w:color w:val="013A57" w:themeColor="accent1" w:themeShade="BF"/>
                                <w:sz w:val="72"/>
                                <w:szCs w:val="72"/>
                                <w:lang w:val="en-AU"/>
                              </w:rPr>
                            </w:pPr>
                            <w:r>
                              <w:rPr>
                                <w:rFonts w:asciiTheme="majorHAnsi" w:hAnsiTheme="majorHAnsi" w:cstheme="majorHAnsi"/>
                                <w:color w:val="013A57" w:themeColor="accent1" w:themeShade="BF"/>
                                <w:sz w:val="72"/>
                                <w:szCs w:val="72"/>
                                <w:lang w:val="en-AU"/>
                              </w:rPr>
                              <w:t>AGM</w:t>
                            </w:r>
                            <w:r w:rsidR="007A65E7">
                              <w:rPr>
                                <w:rFonts w:asciiTheme="majorHAnsi" w:hAnsiTheme="majorHAnsi" w:cstheme="majorHAnsi"/>
                                <w:color w:val="013A57" w:themeColor="accent1" w:themeShade="BF"/>
                                <w:sz w:val="72"/>
                                <w:szCs w:val="72"/>
                                <w:lang w:val="en-AU"/>
                              </w:rPr>
                              <w:t>: Report of the Chair</w:t>
                            </w:r>
                          </w:p>
                          <w:p w14:paraId="1407116E" w14:textId="6E345C5C" w:rsidR="007A65E7" w:rsidRDefault="007A65E7">
                            <w:pPr>
                              <w:rPr>
                                <w:rFonts w:asciiTheme="majorHAnsi" w:hAnsiTheme="majorHAnsi" w:cstheme="majorHAnsi"/>
                                <w:color w:val="013A57" w:themeColor="accent1" w:themeShade="BF"/>
                                <w:sz w:val="72"/>
                                <w:szCs w:val="72"/>
                                <w:lang w:val="en-AU"/>
                              </w:rPr>
                            </w:pPr>
                          </w:p>
                          <w:p w14:paraId="69C8267D" w14:textId="3D2915A0" w:rsidR="007A65E7" w:rsidRPr="007A65E7" w:rsidRDefault="007A65E7">
                            <w:pPr>
                              <w:rPr>
                                <w:rFonts w:asciiTheme="majorHAnsi" w:hAnsiTheme="majorHAnsi" w:cstheme="majorHAnsi"/>
                                <w:color w:val="013A57" w:themeColor="accent1" w:themeShade="BF"/>
                                <w:sz w:val="44"/>
                                <w:szCs w:val="44"/>
                                <w:lang w:val="en-AU"/>
                              </w:rPr>
                            </w:pPr>
                            <w:r w:rsidRPr="007A65E7">
                              <w:rPr>
                                <w:rFonts w:asciiTheme="majorHAnsi" w:hAnsiTheme="majorHAnsi" w:cstheme="majorHAnsi"/>
                                <w:color w:val="013A57" w:themeColor="accent1" w:themeShade="BF"/>
                                <w:sz w:val="44"/>
                                <w:szCs w:val="44"/>
                                <w:lang w:val="en-AU"/>
                              </w:rPr>
                              <w:t>Di Collins,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F2039E" id="_x0000_t202" coordsize="21600,21600" o:spt="202" path="m,l,21600r21600,l21600,xe">
                <v:stroke joinstyle="miter"/>
                <v:path gradientshapeok="t" o:connecttype="rect"/>
              </v:shapetype>
              <v:shape id="Text Box 11" o:spid="_x0000_s1026" type="#_x0000_t202" style="position:absolute;margin-left:6.9pt;margin-top:9.45pt;width:269.2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" fillcolor="white [3201]" strokeweight=".5pt">
                <v:textbox>
                  <w:txbxContent>
                    <w:p w14:paraId="46800F37" w14:textId="0A32E65F" w:rsidR="00CC114C" w:rsidRDefault="007A65E7">
                      <w:pPr>
                        <w:rPr>
                          <w:rFonts w:asciiTheme="majorHAnsi" w:hAnsiTheme="majorHAnsi" w:cstheme="majorHAnsi"/>
                          <w:color w:val="013A57" w:themeColor="accent1" w:themeShade="BF"/>
                          <w:sz w:val="72"/>
                          <w:szCs w:val="72"/>
                          <w:lang w:val="en-AU"/>
                        </w:rPr>
                      </w:pPr>
                      <w:r>
                        <w:rPr>
                          <w:rFonts w:asciiTheme="majorHAnsi" w:hAnsiTheme="majorHAnsi" w:cstheme="majorHAnsi"/>
                          <w:color w:val="013A57" w:themeColor="accent1" w:themeShade="BF"/>
                          <w:sz w:val="72"/>
                          <w:szCs w:val="72"/>
                          <w:lang w:val="en-AU"/>
                        </w:rPr>
                        <w:t xml:space="preserve">2RPH </w:t>
                      </w:r>
                      <w:r w:rsidR="00CC114C">
                        <w:rPr>
                          <w:rFonts w:asciiTheme="majorHAnsi" w:hAnsiTheme="majorHAnsi" w:cstheme="majorHAnsi"/>
                          <w:color w:val="013A57" w:themeColor="accent1" w:themeShade="BF"/>
                          <w:sz w:val="72"/>
                          <w:szCs w:val="72"/>
                          <w:lang w:val="en-AU"/>
                        </w:rPr>
                        <w:t>2018-19</w:t>
                      </w:r>
                    </w:p>
                    <w:p w14:paraId="7803CDC7" w14:textId="1BFB5560" w:rsidR="00CC114C" w:rsidRDefault="00CC114C">
                      <w:pPr>
                        <w:rPr>
                          <w:rFonts w:asciiTheme="majorHAnsi" w:hAnsiTheme="majorHAnsi" w:cstheme="majorHAnsi"/>
                          <w:color w:val="013A57" w:themeColor="accent1" w:themeShade="BF"/>
                          <w:sz w:val="72"/>
                          <w:szCs w:val="72"/>
                          <w:lang w:val="en-AU"/>
                        </w:rPr>
                      </w:pPr>
                      <w:r>
                        <w:rPr>
                          <w:rFonts w:asciiTheme="majorHAnsi" w:hAnsiTheme="majorHAnsi" w:cstheme="majorHAnsi"/>
                          <w:color w:val="013A57" w:themeColor="accent1" w:themeShade="BF"/>
                          <w:sz w:val="72"/>
                          <w:szCs w:val="72"/>
                          <w:lang w:val="en-AU"/>
                        </w:rPr>
                        <w:t>AGM</w:t>
                      </w:r>
                      <w:r w:rsidR="007A65E7">
                        <w:rPr>
                          <w:rFonts w:asciiTheme="majorHAnsi" w:hAnsiTheme="majorHAnsi" w:cstheme="majorHAnsi"/>
                          <w:color w:val="013A57" w:themeColor="accent1" w:themeShade="BF"/>
                          <w:sz w:val="72"/>
                          <w:szCs w:val="72"/>
                          <w:lang w:val="en-AU"/>
                        </w:rPr>
                        <w:t>: Report of the Chair</w:t>
                      </w:r>
                    </w:p>
                    <w:p w14:paraId="1407116E" w14:textId="6E345C5C" w:rsidR="007A65E7" w:rsidRDefault="007A65E7">
                      <w:pPr>
                        <w:rPr>
                          <w:rFonts w:asciiTheme="majorHAnsi" w:hAnsiTheme="majorHAnsi" w:cstheme="majorHAnsi"/>
                          <w:color w:val="013A57" w:themeColor="accent1" w:themeShade="BF"/>
                          <w:sz w:val="72"/>
                          <w:szCs w:val="72"/>
                          <w:lang w:val="en-AU"/>
                        </w:rPr>
                      </w:pPr>
                    </w:p>
                    <w:p w14:paraId="69C8267D" w14:textId="3D2915A0" w:rsidR="007A65E7" w:rsidRPr="007A65E7" w:rsidRDefault="007A65E7">
                      <w:pPr>
                        <w:rPr>
                          <w:rFonts w:asciiTheme="majorHAnsi" w:hAnsiTheme="majorHAnsi" w:cstheme="majorHAnsi"/>
                          <w:color w:val="013A57" w:themeColor="accent1" w:themeShade="BF"/>
                          <w:sz w:val="44"/>
                          <w:szCs w:val="44"/>
                          <w:lang w:val="en-AU"/>
                        </w:rPr>
                      </w:pPr>
                      <w:r w:rsidRPr="007A65E7">
                        <w:rPr>
                          <w:rFonts w:asciiTheme="majorHAnsi" w:hAnsiTheme="majorHAnsi" w:cstheme="majorHAnsi"/>
                          <w:color w:val="013A57" w:themeColor="accent1" w:themeShade="BF"/>
                          <w:sz w:val="44"/>
                          <w:szCs w:val="44"/>
                          <w:lang w:val="en-AU"/>
                        </w:rPr>
                        <w:t>Di Collins, Chair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3DAF4F2" wp14:editId="6A85B293">
                <wp:simplePos x="0" y="0"/>
                <wp:positionH relativeFrom="column">
                  <wp:posOffset>-93345</wp:posOffset>
                </wp:positionH>
                <wp:positionV relativeFrom="paragraph">
                  <wp:posOffset>-184785</wp:posOffset>
                </wp:positionV>
                <wp:extent cx="3790950" cy="5419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790950" cy="5419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2666D" id="Rectangle 10" o:spid="_x0000_s1026" style="position:absolute;margin-left:-7.35pt;margin-top:-14.55pt;width:298.5pt;height:42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" fillcolor="white [3212]" strokecolor="#012639 [1604]" strokeweight="2pt"/>
            </w:pict>
          </mc:Fallback>
        </mc:AlternateContent>
      </w:r>
      <w:r w:rsidR="00D077E9">
        <w:rPr>
          <w:noProof/>
        </w:rPr>
        <w:drawing>
          <wp:anchor distT="0" distB="0" distL="114300" distR="114300" simplePos="0" relativeHeight="251658240" behindDoc="1" locked="0" layoutInCell="1" allowOverlap="1" wp14:anchorId="408A6CAD" wp14:editId="4815E135">
            <wp:simplePos x="0" y="0"/>
            <wp:positionH relativeFrom="column">
              <wp:posOffset>-3671570</wp:posOffset>
            </wp:positionH>
            <wp:positionV relativeFrom="page">
              <wp:posOffset>-133350</wp:posOffset>
            </wp:positionV>
            <wp:extent cx="10748401" cy="716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6">
                      <a:extLst>
                        <a:ext uri="{28A0092B-C50C-407E-A947-70E740481C1C}">
                          <a14:useLocalDpi xmlns:a14="http://schemas.microsoft.com/office/drawing/2010/main" val="0"/>
                        </a:ext>
                      </a:extLst>
                    </a:blip>
                    <a:stretch>
                      <a:fillRect/>
                    </a:stretch>
                  </pic:blipFill>
                  <pic:spPr>
                    <a:xfrm>
                      <a:off x="0" y="0"/>
                      <a:ext cx="10748401" cy="7162800"/>
                    </a:xfrm>
                    <a:prstGeom prst="rect">
                      <a:avLst/>
                    </a:prstGeom>
                  </pic:spPr>
                </pic:pic>
              </a:graphicData>
            </a:graphic>
            <wp14:sizeRelH relativeFrom="margin">
              <wp14:pctWidth>0</wp14:pctWidth>
            </wp14:sizeRelH>
            <wp14:sizeRelV relativeFrom="margin">
              <wp14:pctHeight>0</wp14:pctHeight>
            </wp14:sizeRelV>
          </wp:anchor>
        </w:drawing>
      </w:r>
    </w:p>
    <w:p w14:paraId="4521D3CC" w14:textId="29FC91C1" w:rsidR="00D077E9" w:rsidRDefault="007A65E7">
      <w:pPr>
        <w:spacing w:after="200"/>
      </w:pPr>
      <w:r>
        <w:rPr>
          <w:noProof/>
        </w:rPr>
        <mc:AlternateContent>
          <mc:Choice Requires="wps">
            <w:drawing>
              <wp:anchor distT="0" distB="0" distL="114300" distR="114300" simplePos="0" relativeHeight="251664384" behindDoc="0" locked="0" layoutInCell="1" allowOverlap="1" wp14:anchorId="597069BC" wp14:editId="3F10FFD2">
                <wp:simplePos x="0" y="0"/>
                <wp:positionH relativeFrom="column">
                  <wp:posOffset>-26670</wp:posOffset>
                </wp:positionH>
                <wp:positionV relativeFrom="paragraph">
                  <wp:posOffset>1756410</wp:posOffset>
                </wp:positionV>
                <wp:extent cx="1885950" cy="419100"/>
                <wp:effectExtent l="0" t="0" r="0" b="0"/>
                <wp:wrapNone/>
                <wp:docPr id="13" name="Minus Sign 13"/>
                <wp:cNvGraphicFramePr/>
                <a:graphic xmlns:a="http://schemas.openxmlformats.org/drawingml/2006/main">
                  <a:graphicData uri="http://schemas.microsoft.com/office/word/2010/wordprocessingShape">
                    <wps:wsp>
                      <wps:cNvSpPr/>
                      <wps:spPr>
                        <a:xfrm>
                          <a:off x="0" y="0"/>
                          <a:ext cx="1885950" cy="419100"/>
                        </a:xfrm>
                        <a:prstGeom prst="mathMinu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188AA" id="Minus Sign 13" o:spid="_x0000_s1026" style="position:absolute;margin-left:-2.1pt;margin-top:138.3pt;width:148.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" path="m249983,160264r1385984,l1635967,258836r-1385984,l249983,160264xe" fillcolor="#013a57 [2404]" strokecolor="#012639 [1604]" strokeweight="2pt">
                <v:path arrowok="t" o:connecttype="custom" o:connectlocs="249983,160264;1635967,160264;1635967,258836;249983,258836;249983,160264" o:connectangles="0,0,0,0,0"/>
              </v:shape>
            </w:pict>
          </mc:Fallback>
        </mc:AlternateContent>
      </w:r>
      <w:r w:rsidR="00CC114C">
        <w:rPr>
          <w:noProof/>
        </w:rPr>
        <w:drawing>
          <wp:anchor distT="0" distB="0" distL="114300" distR="114300" simplePos="0" relativeHeight="251661312" behindDoc="0" locked="0" layoutInCell="1" allowOverlap="1" wp14:anchorId="6D2CD79F" wp14:editId="7F4DE0EC">
            <wp:simplePos x="0" y="0"/>
            <wp:positionH relativeFrom="column">
              <wp:posOffset>3807460</wp:posOffset>
            </wp:positionH>
            <wp:positionV relativeFrom="paragraph">
              <wp:posOffset>5852160</wp:posOffset>
            </wp:positionV>
            <wp:extent cx="3174365" cy="2139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RPH Transparent Logo.png"/>
                    <pic:cNvPicPr/>
                  </pic:nvPicPr>
                  <pic:blipFill rotWithShape="1">
                    <a:blip r:embed="rId7" cstate="print">
                      <a:extLst>
                        <a:ext uri="{28A0092B-C50C-407E-A947-70E740481C1C}">
                          <a14:useLocalDpi xmlns:a14="http://schemas.microsoft.com/office/drawing/2010/main" val="0"/>
                        </a:ext>
                      </a:extLst>
                    </a:blip>
                    <a:srcRect l="23938" t="25314" r="22780" b="24596"/>
                    <a:stretch/>
                  </pic:blipFill>
                  <pic:spPr bwMode="auto">
                    <a:xfrm>
                      <a:off x="0" y="0"/>
                      <a:ext cx="3174365" cy="2139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114C">
        <w:rPr>
          <w:noProof/>
        </w:rPr>
        <mc:AlternateContent>
          <mc:Choice Requires="wps">
            <w:drawing>
              <wp:anchor distT="0" distB="0" distL="114300" distR="114300" simplePos="0" relativeHeight="251659264" behindDoc="1" locked="0" layoutInCell="1" allowOverlap="1" wp14:anchorId="67C3A428" wp14:editId="7E7BFEEF">
                <wp:simplePos x="0" y="0"/>
                <wp:positionH relativeFrom="column">
                  <wp:posOffset>-750571</wp:posOffset>
                </wp:positionH>
                <wp:positionV relativeFrom="page">
                  <wp:posOffset>6667500</wp:posOffset>
                </wp:positionV>
                <wp:extent cx="7823835" cy="3374390"/>
                <wp:effectExtent l="0" t="0" r="5715" b="0"/>
                <wp:wrapNone/>
                <wp:docPr id="2" name="Rectangle 2" descr="colored rectangle"/>
                <wp:cNvGraphicFramePr/>
                <a:graphic xmlns:a="http://schemas.openxmlformats.org/drawingml/2006/main">
                  <a:graphicData uri="http://schemas.microsoft.com/office/word/2010/wordprocessingShape">
                    <wps:wsp>
                      <wps:cNvSpPr/>
                      <wps:spPr>
                        <a:xfrm>
                          <a:off x="0" y="0"/>
                          <a:ext cx="7823835" cy="3374390"/>
                        </a:xfrm>
                        <a:prstGeom prst="rect">
                          <a:avLst/>
                        </a:prstGeom>
                        <a:solidFill>
                          <a:schemeClr val="bg1">
                            <a:lumMod val="85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3D06F2" id="Rectangle 2" o:spid="_x0000_s1026" alt="colored rectangle" style="position:absolute;margin-left:-59.1pt;margin-top:525pt;width:616.05pt;height:265.7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" fillcolor="#d8d8d8 [2732]" stroked="f">
                <w10:wrap anchory="page"/>
              </v:rect>
            </w:pict>
          </mc:Fallback>
        </mc:AlternateContent>
      </w:r>
      <w:r w:rsidR="00D077E9">
        <w:br w:type="page"/>
      </w:r>
    </w:p>
    <w:tbl>
      <w:tblPr>
        <w:tblStyle w:val="TableGrid"/>
        <w:tblW w:w="0" w:type="auto"/>
        <w:tblLook w:val="04A0" w:firstRow="1" w:lastRow="0" w:firstColumn="1" w:lastColumn="0" w:noHBand="0" w:noVBand="1"/>
      </w:tblPr>
      <w:tblGrid>
        <w:gridCol w:w="9926"/>
      </w:tblGrid>
      <w:tr w:rsidR="007A65E7" w14:paraId="70762CB7" w14:textId="77777777" w:rsidTr="007A65E7">
        <w:tc>
          <w:tcPr>
            <w:tcW w:w="9926" w:type="dxa"/>
          </w:tcPr>
          <w:p w14:paraId="41AD4B7E" w14:textId="77777777" w:rsidR="00122902" w:rsidRPr="00122902" w:rsidRDefault="00122902" w:rsidP="00122902">
            <w:pPr>
              <w:rPr>
                <w:rFonts w:ascii="Arial" w:hAnsi="Arial" w:cs="Arial"/>
                <w:sz w:val="52"/>
                <w:szCs w:val="52"/>
              </w:rPr>
            </w:pPr>
            <w:r w:rsidRPr="00122902">
              <w:rPr>
                <w:rFonts w:ascii="Arial" w:hAnsi="Arial" w:cs="Arial"/>
                <w:sz w:val="52"/>
                <w:szCs w:val="52"/>
              </w:rPr>
              <w:lastRenderedPageBreak/>
              <w:t>The Board</w:t>
            </w:r>
          </w:p>
          <w:p w14:paraId="1EF0CC56" w14:textId="77777777" w:rsidR="00122902" w:rsidRPr="00122902" w:rsidRDefault="00122902" w:rsidP="00122902">
            <w:pPr>
              <w:rPr>
                <w:rFonts w:ascii="Arial" w:hAnsi="Arial" w:cs="Arial"/>
              </w:rPr>
            </w:pPr>
          </w:p>
          <w:p w14:paraId="1C22144C" w14:textId="3E38729F" w:rsidR="007A65E7" w:rsidRPr="00122902" w:rsidRDefault="007A65E7" w:rsidP="00122902">
            <w:pPr>
              <w:rPr>
                <w:rFonts w:ascii="Arial" w:hAnsi="Arial" w:cs="Arial"/>
                <w:b w:val="0"/>
                <w:bCs/>
                <w:color w:val="auto"/>
                <w:sz w:val="24"/>
                <w:szCs w:val="24"/>
              </w:rPr>
            </w:pPr>
            <w:r w:rsidRPr="00122902">
              <w:rPr>
                <w:rFonts w:ascii="Arial" w:hAnsi="Arial" w:cs="Arial"/>
                <w:b w:val="0"/>
                <w:bCs/>
                <w:color w:val="auto"/>
                <w:sz w:val="24"/>
                <w:szCs w:val="24"/>
              </w:rPr>
              <w:t xml:space="preserve">I want to commence this report by </w:t>
            </w:r>
            <w:proofErr w:type="spellStart"/>
            <w:r w:rsidRPr="00122902">
              <w:rPr>
                <w:rFonts w:ascii="Arial" w:hAnsi="Arial" w:cs="Arial"/>
                <w:b w:val="0"/>
                <w:bCs/>
                <w:color w:val="auto"/>
                <w:sz w:val="24"/>
                <w:szCs w:val="24"/>
              </w:rPr>
              <w:t>recognising</w:t>
            </w:r>
            <w:proofErr w:type="spellEnd"/>
            <w:r w:rsidRPr="00122902">
              <w:rPr>
                <w:rFonts w:ascii="Arial" w:hAnsi="Arial" w:cs="Arial"/>
                <w:b w:val="0"/>
                <w:bCs/>
                <w:color w:val="auto"/>
                <w:sz w:val="24"/>
                <w:szCs w:val="24"/>
              </w:rPr>
              <w:t xml:space="preserve"> and thanking those who have served on the Board over the past financial year. These people are Geoff Caban, Robert Estcourt, Maria Issaris, Brian Ollerton and Nick Bertram, the latter of whom stood down in January due to family and other commitments.</w:t>
            </w:r>
          </w:p>
          <w:p w14:paraId="347BE1D4" w14:textId="77777777" w:rsidR="007A65E7" w:rsidRPr="00122902" w:rsidRDefault="007A65E7" w:rsidP="00122902">
            <w:pPr>
              <w:rPr>
                <w:rFonts w:ascii="Arial" w:hAnsi="Arial" w:cs="Arial"/>
                <w:b w:val="0"/>
                <w:bCs/>
                <w:color w:val="auto"/>
                <w:sz w:val="24"/>
                <w:szCs w:val="24"/>
              </w:rPr>
            </w:pPr>
          </w:p>
          <w:p w14:paraId="627171DD" w14:textId="3D30D5DD" w:rsidR="007A65E7" w:rsidRPr="00122902" w:rsidRDefault="007A65E7" w:rsidP="00122902">
            <w:pPr>
              <w:rPr>
                <w:rFonts w:ascii="Arial" w:hAnsi="Arial" w:cs="Arial"/>
                <w:b w:val="0"/>
                <w:bCs/>
                <w:color w:val="auto"/>
                <w:sz w:val="24"/>
                <w:szCs w:val="24"/>
              </w:rPr>
            </w:pPr>
            <w:r w:rsidRPr="00122902">
              <w:rPr>
                <w:rFonts w:ascii="Arial" w:hAnsi="Arial" w:cs="Arial"/>
                <w:b w:val="0"/>
                <w:bCs/>
                <w:color w:val="auto"/>
                <w:sz w:val="24"/>
                <w:szCs w:val="24"/>
              </w:rPr>
              <w:t xml:space="preserve">A Board decision to join the Community Broadcasting Association of Australia (CBAA), and to defer ongoing membership of RPHA, has led to more personal outreach with individual stations within our network. The need for a peak body which adequately and efficiently reflects the needs of the network remain. Consequently, the Board will continue to review what peak body arrangements might better help advocate for, and work in the best interests of, listeners and the network. </w:t>
            </w:r>
          </w:p>
          <w:p w14:paraId="22A518D4" w14:textId="77777777" w:rsidR="007A65E7" w:rsidRPr="00122902" w:rsidRDefault="007A65E7" w:rsidP="00122902">
            <w:pPr>
              <w:rPr>
                <w:rFonts w:ascii="Arial" w:hAnsi="Arial" w:cs="Arial"/>
                <w:b w:val="0"/>
                <w:bCs/>
                <w:color w:val="auto"/>
                <w:sz w:val="24"/>
                <w:szCs w:val="24"/>
              </w:rPr>
            </w:pPr>
          </w:p>
          <w:p w14:paraId="352A055A" w14:textId="19FCB7D3" w:rsidR="007A65E7" w:rsidRPr="00122902" w:rsidRDefault="007A65E7" w:rsidP="00122902">
            <w:pPr>
              <w:rPr>
                <w:rFonts w:ascii="Arial" w:hAnsi="Arial" w:cs="Arial"/>
                <w:b w:val="0"/>
                <w:bCs/>
                <w:color w:val="auto"/>
                <w:sz w:val="24"/>
                <w:szCs w:val="24"/>
              </w:rPr>
            </w:pPr>
            <w:r w:rsidRPr="00122902">
              <w:rPr>
                <w:rFonts w:ascii="Arial" w:hAnsi="Arial" w:cs="Arial"/>
                <w:b w:val="0"/>
                <w:bCs/>
                <w:color w:val="auto"/>
                <w:sz w:val="24"/>
                <w:szCs w:val="24"/>
              </w:rPr>
              <w:t>The Board has continued to work as a cohesive group and to carry out its governance and fiduciary responsibilities extremely effectively. The time commitment of those on the Board has been considerable and the legal responsibilities can be substantial, and I am particularly thankful for their support and dedication.</w:t>
            </w:r>
          </w:p>
          <w:p w14:paraId="1DB77E86" w14:textId="77777777" w:rsidR="007A65E7" w:rsidRPr="00122902" w:rsidRDefault="007A65E7" w:rsidP="00122902">
            <w:pPr>
              <w:rPr>
                <w:rFonts w:ascii="Arial" w:hAnsi="Arial" w:cs="Arial"/>
                <w:b w:val="0"/>
                <w:bCs/>
                <w:color w:val="auto"/>
                <w:sz w:val="24"/>
                <w:szCs w:val="24"/>
              </w:rPr>
            </w:pPr>
          </w:p>
          <w:p w14:paraId="574E70AB" w14:textId="17B05BFB" w:rsidR="007A65E7" w:rsidRPr="00122902" w:rsidRDefault="007A65E7" w:rsidP="00122902">
            <w:pPr>
              <w:rPr>
                <w:rFonts w:ascii="Arial" w:hAnsi="Arial" w:cs="Arial"/>
                <w:b w:val="0"/>
                <w:bCs/>
                <w:color w:val="auto"/>
                <w:sz w:val="24"/>
                <w:szCs w:val="24"/>
              </w:rPr>
            </w:pPr>
            <w:r w:rsidRPr="00122902">
              <w:rPr>
                <w:rFonts w:ascii="Arial" w:hAnsi="Arial" w:cs="Arial"/>
                <w:b w:val="0"/>
                <w:bCs/>
                <w:color w:val="auto"/>
                <w:sz w:val="24"/>
                <w:szCs w:val="24"/>
              </w:rPr>
              <w:t>As part of seeking to strengthen the 2RPH Board we want to ensure greater continuity of decisions, programs, board membership, knowledge and administration by extending board appointments to three years rather than two. Additionally, to ensure the board is refreshed on a regular basis we are recommending limiting the length of overall service directors can serve on the Board to three terms of three years i.e. a total of nine years overall. These matters will be discussed and voted on at this AGM.</w:t>
            </w:r>
          </w:p>
          <w:p w14:paraId="63C57456" w14:textId="290D0460" w:rsidR="00122902" w:rsidRPr="00122902" w:rsidRDefault="00122902" w:rsidP="00122902">
            <w:pPr>
              <w:rPr>
                <w:rFonts w:ascii="Arial" w:hAnsi="Arial" w:cs="Arial"/>
                <w:b w:val="0"/>
                <w:bCs/>
                <w:color w:val="auto"/>
                <w:sz w:val="24"/>
                <w:szCs w:val="24"/>
              </w:rPr>
            </w:pPr>
          </w:p>
          <w:p w14:paraId="44FC9883" w14:textId="501F0065" w:rsidR="00122902" w:rsidRPr="00122902" w:rsidRDefault="00122902" w:rsidP="00122902">
            <w:pPr>
              <w:rPr>
                <w:rFonts w:ascii="Arial" w:hAnsi="Arial" w:cs="Arial"/>
                <w:sz w:val="52"/>
                <w:szCs w:val="52"/>
              </w:rPr>
            </w:pPr>
            <w:r w:rsidRPr="00122902">
              <w:rPr>
                <w:rFonts w:ascii="Arial" w:hAnsi="Arial" w:cs="Arial"/>
                <w:sz w:val="52"/>
                <w:szCs w:val="52"/>
              </w:rPr>
              <w:t>Strategy</w:t>
            </w:r>
          </w:p>
          <w:p w14:paraId="70E45118" w14:textId="77777777" w:rsidR="00122902" w:rsidRPr="00122902" w:rsidRDefault="00122902" w:rsidP="00122902">
            <w:pPr>
              <w:rPr>
                <w:rFonts w:ascii="Arial" w:hAnsi="Arial" w:cs="Arial"/>
                <w:b w:val="0"/>
                <w:bCs/>
                <w:color w:val="auto"/>
                <w:sz w:val="24"/>
                <w:szCs w:val="24"/>
              </w:rPr>
            </w:pPr>
          </w:p>
          <w:p w14:paraId="1447F7AE" w14:textId="3BBD86AC"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 xml:space="preserve">Pivotal to the work we do is the listener. We exist purely to provide a service to those who, for any reason, are unable to access published material. </w:t>
            </w:r>
          </w:p>
          <w:p w14:paraId="27F58044" w14:textId="77777777" w:rsidR="00122902" w:rsidRPr="00122902" w:rsidRDefault="00122902" w:rsidP="00122902">
            <w:pPr>
              <w:rPr>
                <w:rFonts w:ascii="Arial" w:hAnsi="Arial" w:cs="Arial"/>
                <w:b w:val="0"/>
                <w:bCs/>
                <w:color w:val="auto"/>
                <w:sz w:val="24"/>
                <w:szCs w:val="24"/>
              </w:rPr>
            </w:pPr>
          </w:p>
          <w:p w14:paraId="10467112"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 xml:space="preserve">While our prime focus has been, and will continue to be, focused on people with a print disability, it has become clear there is a need for programs which will appeal more broadly to those with a wider range of needs.  </w:t>
            </w:r>
          </w:p>
          <w:p w14:paraId="796C7423" w14:textId="77777777" w:rsidR="00122902" w:rsidRPr="00122902" w:rsidRDefault="00122902" w:rsidP="00122902">
            <w:pPr>
              <w:rPr>
                <w:rFonts w:ascii="Arial" w:hAnsi="Arial" w:cs="Arial"/>
                <w:b w:val="0"/>
                <w:bCs/>
                <w:color w:val="auto"/>
                <w:sz w:val="24"/>
                <w:szCs w:val="24"/>
              </w:rPr>
            </w:pPr>
          </w:p>
          <w:p w14:paraId="50B0502F"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Our role is to help keep listeners informed, entertained, enabled and engaged in the wider community. Hence our strategy needs to reflect this and to broaden our audience.</w:t>
            </w:r>
          </w:p>
          <w:p w14:paraId="54E12DC4"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 xml:space="preserve">To date our strategy has successfully guided: new content; programs to recognise volunteers; resourcing to enable specialist staff to join 2RPH; continued growth in numbers of on-air readers and presenters; as well as endorsing outreach to key groups such as the Community Broadcasting Association of Australia; and Blind Citizens Australia.  </w:t>
            </w:r>
          </w:p>
          <w:p w14:paraId="5DA5AC91"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 xml:space="preserve">The initial strategy has been for 2018-2020 and we are on track as we complete the second year of our three-year strategy. It is now timely to review that strategy and to commence planning for the next few years.  </w:t>
            </w:r>
          </w:p>
          <w:p w14:paraId="37DA13E3" w14:textId="77777777" w:rsidR="00122902" w:rsidRPr="00122902" w:rsidRDefault="00122902" w:rsidP="00122902">
            <w:pPr>
              <w:rPr>
                <w:rFonts w:ascii="Arial" w:hAnsi="Arial" w:cs="Arial"/>
                <w:b w:val="0"/>
                <w:bCs/>
                <w:color w:val="auto"/>
                <w:sz w:val="24"/>
                <w:szCs w:val="24"/>
              </w:rPr>
            </w:pPr>
          </w:p>
          <w:p w14:paraId="4439C3CE"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lastRenderedPageBreak/>
              <w:t xml:space="preserve">This review will take place over the next few months and will focus on how we will:  captivate our audience; deliver sound governance and financial sustainability; and strengthen and extend our community of interest.  </w:t>
            </w:r>
          </w:p>
          <w:p w14:paraId="77199597" w14:textId="77777777" w:rsidR="00122902" w:rsidRPr="00122902" w:rsidRDefault="00122902" w:rsidP="00122902">
            <w:pPr>
              <w:rPr>
                <w:rFonts w:ascii="Arial" w:hAnsi="Arial" w:cs="Arial"/>
                <w:b w:val="0"/>
                <w:bCs/>
                <w:color w:val="auto"/>
                <w:sz w:val="24"/>
                <w:szCs w:val="24"/>
              </w:rPr>
            </w:pPr>
          </w:p>
          <w:p w14:paraId="2B8CC74E"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We will be seeking your involvement in this process to ensure that we reflect a wide range of opinion and need. We will also seek your involvement in addressing the concern that the inclusion of the word ‘handicapped’ in our name causes in the wider community.</w:t>
            </w:r>
          </w:p>
          <w:p w14:paraId="52C6C224" w14:textId="77777777" w:rsidR="00122902" w:rsidRPr="00122902" w:rsidRDefault="00122902" w:rsidP="00122902">
            <w:pPr>
              <w:rPr>
                <w:rFonts w:ascii="Arial" w:hAnsi="Arial" w:cs="Arial"/>
                <w:b w:val="0"/>
                <w:bCs/>
                <w:color w:val="auto"/>
                <w:sz w:val="24"/>
                <w:szCs w:val="24"/>
              </w:rPr>
            </w:pPr>
          </w:p>
          <w:p w14:paraId="2E12D1DF"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 xml:space="preserve">Our overall strategy will involve </w:t>
            </w:r>
            <w:proofErr w:type="spellStart"/>
            <w:r w:rsidRPr="00122902">
              <w:rPr>
                <w:rFonts w:ascii="Arial" w:hAnsi="Arial" w:cs="Arial"/>
                <w:b w:val="0"/>
                <w:bCs/>
                <w:color w:val="auto"/>
                <w:sz w:val="24"/>
                <w:szCs w:val="24"/>
              </w:rPr>
              <w:t>utilising</w:t>
            </w:r>
            <w:proofErr w:type="spellEnd"/>
            <w:r w:rsidRPr="00122902">
              <w:rPr>
                <w:rFonts w:ascii="Arial" w:hAnsi="Arial" w:cs="Arial"/>
                <w:b w:val="0"/>
                <w:bCs/>
                <w:color w:val="auto"/>
                <w:sz w:val="24"/>
                <w:szCs w:val="24"/>
              </w:rPr>
              <w:t xml:space="preserve"> available technology to provide a range of listening options. Whether that be by streaming, podcasts, or on demand, we will be looking to ensure as high a transmission quality as possible.</w:t>
            </w:r>
          </w:p>
          <w:p w14:paraId="230A15FB" w14:textId="77777777" w:rsidR="00122902" w:rsidRPr="00122902" w:rsidRDefault="00122902" w:rsidP="00122902">
            <w:pPr>
              <w:rPr>
                <w:rFonts w:ascii="Arial" w:hAnsi="Arial" w:cs="Arial"/>
                <w:b w:val="0"/>
                <w:bCs/>
                <w:color w:val="auto"/>
                <w:sz w:val="24"/>
                <w:szCs w:val="24"/>
              </w:rPr>
            </w:pPr>
          </w:p>
          <w:p w14:paraId="54F9F9FA" w14:textId="6A007869"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I mentioned in my last report that Broadcast Australia was in ongoing discussions with the 2RPH Board regarding 2RPH switching fully to the FM band. Since then there have been no further communications, or proposals, from Broadcast Australia about this. We understand that this is due to organisational restructuring at Broadcast Australia and to a change in personnel and their responsibilities.</w:t>
            </w:r>
          </w:p>
          <w:p w14:paraId="2F1851BA" w14:textId="77777777" w:rsidR="00122902" w:rsidRPr="00122902" w:rsidRDefault="00122902" w:rsidP="00122902">
            <w:pPr>
              <w:rPr>
                <w:rFonts w:ascii="Arial" w:hAnsi="Arial" w:cs="Arial"/>
                <w:b w:val="0"/>
                <w:bCs/>
                <w:color w:val="auto"/>
                <w:sz w:val="24"/>
                <w:szCs w:val="24"/>
              </w:rPr>
            </w:pPr>
          </w:p>
          <w:p w14:paraId="5C53CF08" w14:textId="0FE059B0" w:rsidR="00122902" w:rsidRPr="00122902" w:rsidRDefault="00122902" w:rsidP="00122902">
            <w:pPr>
              <w:rPr>
                <w:rFonts w:ascii="Arial" w:hAnsi="Arial" w:cs="Arial"/>
                <w:sz w:val="52"/>
                <w:szCs w:val="52"/>
              </w:rPr>
            </w:pPr>
            <w:r w:rsidRPr="00122902">
              <w:rPr>
                <w:rFonts w:ascii="Arial" w:hAnsi="Arial" w:cs="Arial"/>
                <w:sz w:val="52"/>
                <w:szCs w:val="52"/>
              </w:rPr>
              <w:t>Financial</w:t>
            </w:r>
          </w:p>
          <w:p w14:paraId="7AEAE4DD" w14:textId="77777777" w:rsidR="00122902" w:rsidRPr="00122902" w:rsidRDefault="00122902" w:rsidP="00122902">
            <w:pPr>
              <w:rPr>
                <w:rFonts w:ascii="Arial" w:hAnsi="Arial" w:cs="Arial"/>
                <w:b w:val="0"/>
                <w:bCs/>
                <w:color w:val="auto"/>
                <w:sz w:val="24"/>
                <w:szCs w:val="24"/>
              </w:rPr>
            </w:pPr>
          </w:p>
          <w:p w14:paraId="1439E54A" w14:textId="6B8AFB89" w:rsidR="00122902" w:rsidRDefault="00122902" w:rsidP="00122902">
            <w:pPr>
              <w:rPr>
                <w:rFonts w:ascii="Arial" w:hAnsi="Arial" w:cs="Arial"/>
                <w:sz w:val="24"/>
                <w:szCs w:val="24"/>
              </w:rPr>
            </w:pPr>
            <w:r w:rsidRPr="00122902">
              <w:rPr>
                <w:rFonts w:ascii="Arial" w:hAnsi="Arial" w:cs="Arial"/>
                <w:b w:val="0"/>
                <w:bCs/>
                <w:color w:val="auto"/>
                <w:sz w:val="24"/>
                <w:szCs w:val="24"/>
              </w:rPr>
              <w:t xml:space="preserve">Importantly the year has finished on a strong financial note, the details of which have been provided separately and which we are scheduled to discuss in detail at the AGM.  However, these results come with a strong note of caution. While we have had a successful year, we cannot expect these results to continue or to be </w:t>
            </w:r>
            <w:proofErr w:type="gramStart"/>
            <w:r w:rsidRPr="00122902">
              <w:rPr>
                <w:rFonts w:ascii="Arial" w:hAnsi="Arial" w:cs="Arial"/>
                <w:b w:val="0"/>
                <w:bCs/>
                <w:color w:val="auto"/>
                <w:sz w:val="24"/>
                <w:szCs w:val="24"/>
              </w:rPr>
              <w:t>sufficient</w:t>
            </w:r>
            <w:proofErr w:type="gramEnd"/>
            <w:r w:rsidRPr="00122902">
              <w:rPr>
                <w:rFonts w:ascii="Arial" w:hAnsi="Arial" w:cs="Arial"/>
                <w:b w:val="0"/>
                <w:bCs/>
                <w:color w:val="auto"/>
                <w:sz w:val="24"/>
                <w:szCs w:val="24"/>
              </w:rPr>
              <w:t xml:space="preserve"> to ensure ongoing replacement of the funding that we lose under current arrangements with the Department of Community and Justice, formerly known as Family and Community Services.</w:t>
            </w:r>
            <w:r w:rsidRPr="00122902">
              <w:rPr>
                <w:rFonts w:ascii="Arial" w:hAnsi="Arial" w:cs="Arial"/>
                <w:sz w:val="24"/>
                <w:szCs w:val="24"/>
              </w:rPr>
              <w:t xml:space="preserve"> </w:t>
            </w:r>
          </w:p>
          <w:p w14:paraId="4DE0A823" w14:textId="77777777" w:rsidR="00122902" w:rsidRPr="00122902" w:rsidRDefault="00122902" w:rsidP="00122902">
            <w:pPr>
              <w:rPr>
                <w:rFonts w:ascii="Arial" w:hAnsi="Arial" w:cs="Arial"/>
                <w:sz w:val="24"/>
                <w:szCs w:val="24"/>
              </w:rPr>
            </w:pPr>
          </w:p>
          <w:p w14:paraId="5E8D6E69" w14:textId="77777777" w:rsidR="00122902" w:rsidRPr="00122902" w:rsidRDefault="00122902" w:rsidP="00122902">
            <w:pPr>
              <w:pStyle w:val="Heading1"/>
              <w:spacing w:before="0" w:after="0"/>
              <w:outlineLvl w:val="0"/>
              <w:rPr>
                <w:rFonts w:ascii="Arial" w:hAnsi="Arial" w:cs="Arial"/>
                <w:b w:val="0"/>
                <w:bCs/>
                <w:color w:val="auto"/>
                <w:sz w:val="24"/>
                <w:szCs w:val="24"/>
              </w:rPr>
            </w:pPr>
            <w:r w:rsidRPr="00122902">
              <w:rPr>
                <w:rFonts w:ascii="Arial" w:hAnsi="Arial" w:cs="Arial"/>
              </w:rPr>
              <w:t>2020</w:t>
            </w:r>
            <w:r w:rsidRPr="00122902">
              <w:rPr>
                <w:rFonts w:ascii="Arial" w:hAnsi="Arial" w:cs="Arial"/>
                <w:b w:val="0"/>
                <w:bCs/>
                <w:color w:val="auto"/>
                <w:sz w:val="24"/>
                <w:szCs w:val="24"/>
              </w:rPr>
              <w:t xml:space="preserve"> </w:t>
            </w:r>
          </w:p>
          <w:p w14:paraId="045D930D" w14:textId="77777777" w:rsidR="00122902" w:rsidRDefault="00122902" w:rsidP="00122902">
            <w:pPr>
              <w:pStyle w:val="Heading1"/>
              <w:spacing w:before="0" w:after="0"/>
              <w:outlineLvl w:val="0"/>
              <w:rPr>
                <w:rFonts w:ascii="Arial" w:hAnsi="Arial" w:cs="Arial"/>
                <w:b w:val="0"/>
                <w:bCs/>
                <w:color w:val="auto"/>
                <w:sz w:val="24"/>
                <w:szCs w:val="24"/>
              </w:rPr>
            </w:pPr>
          </w:p>
          <w:p w14:paraId="0CA80912" w14:textId="14DF127B" w:rsidR="00122902" w:rsidRDefault="00122902" w:rsidP="00122902">
            <w:pPr>
              <w:pStyle w:val="Heading1"/>
              <w:spacing w:before="0" w:after="0"/>
              <w:outlineLvl w:val="0"/>
              <w:rPr>
                <w:rFonts w:ascii="Arial" w:hAnsi="Arial" w:cs="Arial"/>
                <w:b w:val="0"/>
                <w:bCs/>
                <w:color w:val="auto"/>
                <w:sz w:val="24"/>
                <w:szCs w:val="24"/>
              </w:rPr>
            </w:pPr>
            <w:r w:rsidRPr="00122902">
              <w:rPr>
                <w:rFonts w:ascii="Arial" w:hAnsi="Arial" w:cs="Arial"/>
                <w:b w:val="0"/>
                <w:bCs/>
                <w:color w:val="auto"/>
                <w:sz w:val="24"/>
                <w:szCs w:val="24"/>
              </w:rPr>
              <w:t xml:space="preserve">By way of summary, 2020 will see the Board guiding efforts and discussions on: the 2020-2025 strategy; fund-raising and business development programs; and reviewing the name and rebranding of the station.  </w:t>
            </w:r>
          </w:p>
          <w:p w14:paraId="4CD4BF16" w14:textId="77777777" w:rsidR="00122902" w:rsidRPr="00122902" w:rsidRDefault="00122902" w:rsidP="00122902">
            <w:pPr>
              <w:pStyle w:val="Heading1"/>
              <w:spacing w:before="0" w:after="0"/>
              <w:outlineLvl w:val="0"/>
              <w:rPr>
                <w:rFonts w:ascii="Arial" w:hAnsi="Arial" w:cs="Arial"/>
                <w:b w:val="0"/>
                <w:bCs/>
                <w:color w:val="auto"/>
                <w:sz w:val="24"/>
                <w:szCs w:val="24"/>
              </w:rPr>
            </w:pPr>
          </w:p>
          <w:p w14:paraId="2570BF3F" w14:textId="77777777" w:rsidR="00122902" w:rsidRPr="00122902" w:rsidRDefault="00122902" w:rsidP="00122902">
            <w:pPr>
              <w:pStyle w:val="Heading1"/>
              <w:spacing w:before="0" w:after="0"/>
              <w:outlineLvl w:val="0"/>
              <w:rPr>
                <w:rFonts w:ascii="Arial" w:hAnsi="Arial" w:cs="Arial"/>
                <w:b w:val="0"/>
                <w:bCs/>
                <w:color w:val="auto"/>
                <w:sz w:val="24"/>
                <w:szCs w:val="24"/>
              </w:rPr>
            </w:pPr>
            <w:proofErr w:type="gramStart"/>
            <w:r w:rsidRPr="00122902">
              <w:rPr>
                <w:rFonts w:ascii="Arial" w:hAnsi="Arial" w:cs="Arial"/>
                <w:b w:val="0"/>
                <w:bCs/>
                <w:color w:val="auto"/>
                <w:sz w:val="24"/>
                <w:szCs w:val="24"/>
              </w:rPr>
              <w:t>In particular, we</w:t>
            </w:r>
            <w:proofErr w:type="gramEnd"/>
            <w:r w:rsidRPr="00122902">
              <w:rPr>
                <w:rFonts w:ascii="Arial" w:hAnsi="Arial" w:cs="Arial"/>
                <w:b w:val="0"/>
                <w:bCs/>
                <w:color w:val="auto"/>
                <w:sz w:val="24"/>
                <w:szCs w:val="24"/>
              </w:rPr>
              <w:t xml:space="preserve"> will continue to strengthen the 2RPH Board and to seek a qualified person with a disability to join the Board. Separately, we have sought to strengthen the Board by filling two casual vacancies notably with John Martin and Geraldine Menere.  </w:t>
            </w:r>
          </w:p>
          <w:p w14:paraId="4027B758" w14:textId="77777777" w:rsidR="00122902" w:rsidRPr="00122902" w:rsidRDefault="00122902" w:rsidP="00122902">
            <w:pPr>
              <w:pStyle w:val="Heading1"/>
              <w:spacing w:before="0" w:after="0"/>
              <w:outlineLvl w:val="0"/>
              <w:rPr>
                <w:rFonts w:ascii="Arial" w:hAnsi="Arial" w:cs="Arial"/>
                <w:sz w:val="24"/>
                <w:szCs w:val="24"/>
              </w:rPr>
            </w:pPr>
            <w:r w:rsidRPr="00122902">
              <w:rPr>
                <w:rFonts w:ascii="Arial" w:hAnsi="Arial" w:cs="Arial"/>
                <w:b w:val="0"/>
                <w:bCs/>
                <w:color w:val="auto"/>
                <w:sz w:val="24"/>
                <w:szCs w:val="24"/>
              </w:rPr>
              <w:t xml:space="preserve">John is a stalwart of the community broadcasting sector having served on the boards of the Community Broadcasting Foundation (CBF) and that of the Community Broadcasting Association of Australia (CBAA). Geraldine (Gerry) is a Senior Lawyer with Justice Connect </w:t>
            </w:r>
            <w:r w:rsidRPr="00122902">
              <w:rPr>
                <w:rFonts w:ascii="Arial" w:hAnsi="Arial" w:cs="Arial"/>
                <w:b w:val="0"/>
                <w:bCs/>
                <w:color w:val="auto"/>
                <w:sz w:val="24"/>
                <w:szCs w:val="24"/>
              </w:rPr>
              <w:lastRenderedPageBreak/>
              <w:t>working with Local Aboriginal Land Councils. As such, she has a wealth of governance experience to help guide 2RPH and contribute to our efforts.</w:t>
            </w:r>
            <w:r w:rsidRPr="00122902">
              <w:rPr>
                <w:rFonts w:ascii="Arial" w:hAnsi="Arial" w:cs="Arial"/>
                <w:sz w:val="24"/>
                <w:szCs w:val="24"/>
              </w:rPr>
              <w:t xml:space="preserve"> </w:t>
            </w:r>
          </w:p>
          <w:p w14:paraId="629F99E2" w14:textId="77777777" w:rsidR="00122902" w:rsidRDefault="00122902" w:rsidP="00122902">
            <w:pPr>
              <w:pStyle w:val="Heading1"/>
              <w:spacing w:before="0" w:after="0"/>
              <w:outlineLvl w:val="0"/>
              <w:rPr>
                <w:rFonts w:ascii="Arial" w:hAnsi="Arial" w:cs="Arial"/>
                <w:sz w:val="24"/>
                <w:szCs w:val="24"/>
              </w:rPr>
            </w:pPr>
          </w:p>
          <w:p w14:paraId="78C49989" w14:textId="0AFB37FD" w:rsidR="00122902" w:rsidRPr="00122902" w:rsidRDefault="00122902" w:rsidP="00122902">
            <w:pPr>
              <w:pStyle w:val="Heading1"/>
              <w:spacing w:before="0" w:after="0"/>
              <w:outlineLvl w:val="0"/>
              <w:rPr>
                <w:rFonts w:ascii="Arial" w:hAnsi="Arial" w:cs="Arial"/>
                <w:szCs w:val="52"/>
              </w:rPr>
            </w:pPr>
            <w:r w:rsidRPr="00122902">
              <w:rPr>
                <w:rFonts w:ascii="Arial" w:hAnsi="Arial" w:cs="Arial"/>
                <w:szCs w:val="52"/>
              </w:rPr>
              <w:t>Thank you</w:t>
            </w:r>
          </w:p>
          <w:p w14:paraId="34ED9C33" w14:textId="77777777" w:rsidR="00122902" w:rsidRDefault="00122902" w:rsidP="00122902">
            <w:pPr>
              <w:rPr>
                <w:rFonts w:ascii="Arial" w:hAnsi="Arial" w:cs="Arial"/>
                <w:b w:val="0"/>
                <w:bCs/>
                <w:color w:val="auto"/>
                <w:sz w:val="24"/>
                <w:szCs w:val="24"/>
              </w:rPr>
            </w:pPr>
          </w:p>
          <w:p w14:paraId="390AD5F8" w14:textId="46FEB835"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I want to thank all those volunteers, sponsors, funding bodies and donors who have contributed their time and, or money, to 2RPH over the past year. The involvement of volunteers on committees, notably the Program Advisory Group, the Service Delivery Committee, the Engagement Committee and the Audition Committee have made a real difference.</w:t>
            </w:r>
          </w:p>
          <w:p w14:paraId="6FBF544C" w14:textId="77777777" w:rsidR="00122902" w:rsidRPr="00122902" w:rsidRDefault="00122902" w:rsidP="00122902">
            <w:pPr>
              <w:rPr>
                <w:rFonts w:ascii="Arial" w:hAnsi="Arial" w:cs="Arial"/>
                <w:b w:val="0"/>
                <w:bCs/>
                <w:color w:val="auto"/>
                <w:sz w:val="24"/>
                <w:szCs w:val="24"/>
              </w:rPr>
            </w:pPr>
          </w:p>
          <w:p w14:paraId="1A11D336"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 xml:space="preserve">Importantly thanks are due to those volunteers at the station who read and who assist where needed. These efforts have been intrinsic to the success that 2RPH has achieved. </w:t>
            </w:r>
          </w:p>
          <w:p w14:paraId="38E06BCD" w14:textId="77777777" w:rsidR="00122902" w:rsidRPr="00122902" w:rsidRDefault="00122902" w:rsidP="00122902">
            <w:pPr>
              <w:rPr>
                <w:rFonts w:ascii="Arial" w:hAnsi="Arial" w:cs="Arial"/>
                <w:b w:val="0"/>
                <w:bCs/>
                <w:color w:val="auto"/>
                <w:sz w:val="24"/>
                <w:szCs w:val="24"/>
              </w:rPr>
            </w:pPr>
          </w:p>
          <w:p w14:paraId="14945F42"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 xml:space="preserve">Under the guidance of General Manager, Sancha Donald, and her team of Peter Worthington, Danielle Hanrahan and Catherine Maitland, we have been successful in promoting the organisation to a wider audience; improving and expanding programming; and maintaining an ongoing commitment to training and </w:t>
            </w:r>
            <w:proofErr w:type="spellStart"/>
            <w:r w:rsidRPr="00122902">
              <w:rPr>
                <w:rFonts w:ascii="Arial" w:hAnsi="Arial" w:cs="Arial"/>
                <w:b w:val="0"/>
                <w:bCs/>
                <w:color w:val="auto"/>
                <w:sz w:val="24"/>
                <w:szCs w:val="24"/>
              </w:rPr>
              <w:t>recognising</w:t>
            </w:r>
            <w:proofErr w:type="spellEnd"/>
            <w:r w:rsidRPr="00122902">
              <w:rPr>
                <w:rFonts w:ascii="Arial" w:hAnsi="Arial" w:cs="Arial"/>
                <w:b w:val="0"/>
                <w:bCs/>
                <w:color w:val="auto"/>
                <w:sz w:val="24"/>
                <w:szCs w:val="24"/>
              </w:rPr>
              <w:t xml:space="preserve"> volunteers.</w:t>
            </w:r>
          </w:p>
          <w:p w14:paraId="1B171AE8" w14:textId="77777777" w:rsidR="00122902" w:rsidRPr="00122902" w:rsidRDefault="00122902" w:rsidP="00122902">
            <w:pPr>
              <w:rPr>
                <w:rFonts w:ascii="Arial" w:hAnsi="Arial" w:cs="Arial"/>
                <w:b w:val="0"/>
                <w:bCs/>
                <w:color w:val="auto"/>
                <w:sz w:val="24"/>
                <w:szCs w:val="24"/>
              </w:rPr>
            </w:pPr>
          </w:p>
          <w:p w14:paraId="606FE509"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 xml:space="preserve">As part of </w:t>
            </w:r>
            <w:proofErr w:type="spellStart"/>
            <w:r w:rsidRPr="00122902">
              <w:rPr>
                <w:rFonts w:ascii="Arial" w:hAnsi="Arial" w:cs="Arial"/>
                <w:b w:val="0"/>
                <w:bCs/>
                <w:color w:val="auto"/>
                <w:sz w:val="24"/>
                <w:szCs w:val="24"/>
              </w:rPr>
              <w:t>recognising</w:t>
            </w:r>
            <w:proofErr w:type="spellEnd"/>
            <w:r w:rsidRPr="00122902">
              <w:rPr>
                <w:rFonts w:ascii="Arial" w:hAnsi="Arial" w:cs="Arial"/>
                <w:b w:val="0"/>
                <w:bCs/>
                <w:color w:val="auto"/>
                <w:sz w:val="24"/>
                <w:szCs w:val="24"/>
              </w:rPr>
              <w:t xml:space="preserve"> long-term volunteers we are seeking your endorsement, and change to the 2RPH Constitution, to admit those who have consistently volunteered over 25 years with 2RPH by being </w:t>
            </w:r>
            <w:proofErr w:type="spellStart"/>
            <w:r w:rsidRPr="00122902">
              <w:rPr>
                <w:rFonts w:ascii="Arial" w:hAnsi="Arial" w:cs="Arial"/>
                <w:b w:val="0"/>
                <w:bCs/>
                <w:color w:val="auto"/>
                <w:sz w:val="24"/>
                <w:szCs w:val="24"/>
              </w:rPr>
              <w:t>honoured</w:t>
            </w:r>
            <w:proofErr w:type="spellEnd"/>
            <w:r w:rsidRPr="00122902">
              <w:rPr>
                <w:rFonts w:ascii="Arial" w:hAnsi="Arial" w:cs="Arial"/>
                <w:b w:val="0"/>
                <w:bCs/>
                <w:color w:val="auto"/>
                <w:sz w:val="24"/>
                <w:szCs w:val="24"/>
              </w:rPr>
              <w:t xml:space="preserve"> with Life Membership.</w:t>
            </w:r>
          </w:p>
          <w:p w14:paraId="3FB2714C" w14:textId="77777777" w:rsidR="00122902" w:rsidRPr="00122902" w:rsidRDefault="00122902" w:rsidP="00122902">
            <w:pPr>
              <w:rPr>
                <w:rFonts w:ascii="Arial" w:hAnsi="Arial" w:cs="Arial"/>
                <w:b w:val="0"/>
                <w:bCs/>
                <w:color w:val="auto"/>
                <w:sz w:val="24"/>
                <w:szCs w:val="24"/>
              </w:rPr>
            </w:pPr>
          </w:p>
          <w:p w14:paraId="3BB14115"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On behalf of the Board, I want to thank all for your work, commitment and dedication to 2RPH. The Board, and I, are looking forward to your continued support and involvement in 2020.</w:t>
            </w:r>
          </w:p>
          <w:p w14:paraId="1A1A9F9E" w14:textId="77777777" w:rsidR="00122902" w:rsidRPr="00122902" w:rsidRDefault="00122902" w:rsidP="00122902">
            <w:pPr>
              <w:rPr>
                <w:rFonts w:ascii="Arial" w:hAnsi="Arial" w:cs="Arial"/>
                <w:b w:val="0"/>
                <w:bCs/>
                <w:color w:val="auto"/>
                <w:sz w:val="24"/>
                <w:szCs w:val="24"/>
              </w:rPr>
            </w:pPr>
          </w:p>
          <w:p w14:paraId="0A6A33D6"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Thank you again for your efforts.</w:t>
            </w:r>
          </w:p>
          <w:p w14:paraId="27535E81" w14:textId="77777777" w:rsidR="00122902" w:rsidRPr="00122902" w:rsidRDefault="00122902" w:rsidP="00122902">
            <w:pPr>
              <w:rPr>
                <w:rFonts w:ascii="Arial" w:hAnsi="Arial" w:cs="Arial"/>
                <w:b w:val="0"/>
                <w:bCs/>
                <w:color w:val="auto"/>
                <w:sz w:val="24"/>
                <w:szCs w:val="24"/>
              </w:rPr>
            </w:pPr>
          </w:p>
          <w:p w14:paraId="445D3276" w14:textId="77777777" w:rsidR="00122902" w:rsidRPr="00122902" w:rsidRDefault="00122902" w:rsidP="00122902">
            <w:pPr>
              <w:rPr>
                <w:rFonts w:ascii="Arial" w:hAnsi="Arial" w:cs="Arial"/>
                <w:b w:val="0"/>
                <w:bCs/>
                <w:color w:val="auto"/>
                <w:sz w:val="24"/>
                <w:szCs w:val="24"/>
              </w:rPr>
            </w:pPr>
            <w:r w:rsidRPr="00122902">
              <w:rPr>
                <w:rFonts w:ascii="Arial" w:hAnsi="Arial" w:cs="Arial"/>
                <w:b w:val="0"/>
                <w:bCs/>
                <w:color w:val="auto"/>
                <w:sz w:val="24"/>
                <w:szCs w:val="24"/>
              </w:rPr>
              <w:t xml:space="preserve">Di Collins, </w:t>
            </w:r>
          </w:p>
          <w:p w14:paraId="00EC440E" w14:textId="77777777" w:rsidR="007A65E7" w:rsidRDefault="00122902" w:rsidP="00122902">
            <w:pPr>
              <w:rPr>
                <w:rFonts w:ascii="Arial" w:hAnsi="Arial" w:cs="Arial"/>
                <w:color w:val="auto"/>
                <w:sz w:val="24"/>
                <w:szCs w:val="24"/>
              </w:rPr>
            </w:pPr>
            <w:r w:rsidRPr="00122902">
              <w:rPr>
                <w:rFonts w:ascii="Arial" w:hAnsi="Arial" w:cs="Arial"/>
                <w:color w:val="auto"/>
                <w:sz w:val="24"/>
                <w:szCs w:val="24"/>
              </w:rPr>
              <w:t>Chair</w:t>
            </w:r>
          </w:p>
          <w:p w14:paraId="031C51AE" w14:textId="5246CB26" w:rsidR="00122902" w:rsidRDefault="00122902" w:rsidP="00122902"/>
        </w:tc>
      </w:tr>
    </w:tbl>
    <w:p w14:paraId="1E4462AE" w14:textId="52636454" w:rsidR="0087605E" w:rsidRDefault="0087605E" w:rsidP="00122902"/>
    <w:sectPr w:rsidR="0087605E" w:rsidSect="00DF027C">
      <w:headerReference w:type="default" r:id="rId8"/>
      <w:footerReference w:type="default" r:id="rId9"/>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E388" w14:textId="77777777" w:rsidR="002F6619" w:rsidRDefault="002F6619">
      <w:r>
        <w:separator/>
      </w:r>
    </w:p>
    <w:p w14:paraId="5094BD1C" w14:textId="77777777" w:rsidR="002F6619" w:rsidRDefault="002F6619"/>
  </w:endnote>
  <w:endnote w:type="continuationSeparator" w:id="0">
    <w:p w14:paraId="100FFD7D" w14:textId="77777777" w:rsidR="002F6619" w:rsidRDefault="002F6619">
      <w:r>
        <w:continuationSeparator/>
      </w:r>
    </w:p>
    <w:p w14:paraId="507C5C62" w14:textId="77777777" w:rsidR="002F6619" w:rsidRDefault="002F6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rFonts w:asciiTheme="majorHAnsi" w:hAnsiTheme="majorHAnsi" w:cstheme="majorHAnsi"/>
        <w:noProof/>
      </w:rPr>
    </w:sdtEndPr>
    <w:sdtContent>
      <w:p w14:paraId="580D9E4A" w14:textId="77777777" w:rsidR="00DF027C" w:rsidRPr="000A05C0" w:rsidRDefault="00DF027C">
        <w:pPr>
          <w:pStyle w:val="Footer"/>
          <w:jc w:val="center"/>
          <w:rPr>
            <w:rFonts w:asciiTheme="majorHAnsi" w:hAnsiTheme="majorHAnsi" w:cstheme="majorHAnsi"/>
          </w:rPr>
        </w:pPr>
        <w:r w:rsidRPr="000A05C0">
          <w:rPr>
            <w:rFonts w:asciiTheme="majorHAnsi" w:hAnsiTheme="majorHAnsi" w:cstheme="majorHAnsi"/>
          </w:rPr>
          <w:fldChar w:fldCharType="begin"/>
        </w:r>
        <w:r w:rsidRPr="000A05C0">
          <w:rPr>
            <w:rFonts w:asciiTheme="majorHAnsi" w:hAnsiTheme="majorHAnsi" w:cstheme="majorHAnsi"/>
          </w:rPr>
          <w:instrText xml:space="preserve"> PAGE   \* MERGEFORMAT </w:instrText>
        </w:r>
        <w:r w:rsidRPr="000A05C0">
          <w:rPr>
            <w:rFonts w:asciiTheme="majorHAnsi" w:hAnsiTheme="majorHAnsi" w:cstheme="majorHAnsi"/>
          </w:rPr>
          <w:fldChar w:fldCharType="separate"/>
        </w:r>
        <w:r w:rsidR="006E5716" w:rsidRPr="000A05C0">
          <w:rPr>
            <w:rFonts w:asciiTheme="majorHAnsi" w:hAnsiTheme="majorHAnsi" w:cstheme="majorHAnsi"/>
            <w:noProof/>
          </w:rPr>
          <w:t>1</w:t>
        </w:r>
        <w:r w:rsidRPr="000A05C0">
          <w:rPr>
            <w:rFonts w:asciiTheme="majorHAnsi" w:hAnsiTheme="majorHAnsi" w:cstheme="majorHAnsi"/>
            <w:noProof/>
          </w:rPr>
          <w:fldChar w:fldCharType="end"/>
        </w:r>
      </w:p>
    </w:sdtContent>
  </w:sdt>
  <w:p w14:paraId="1D7E5287"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340E" w14:textId="77777777" w:rsidR="002F6619" w:rsidRDefault="002F6619">
      <w:r>
        <w:separator/>
      </w:r>
    </w:p>
    <w:p w14:paraId="3FE2BB6D" w14:textId="77777777" w:rsidR="002F6619" w:rsidRDefault="002F6619"/>
  </w:footnote>
  <w:footnote w:type="continuationSeparator" w:id="0">
    <w:p w14:paraId="5C7D7815" w14:textId="77777777" w:rsidR="002F6619" w:rsidRDefault="002F6619">
      <w:r>
        <w:continuationSeparator/>
      </w:r>
    </w:p>
    <w:p w14:paraId="54749BF6" w14:textId="77777777" w:rsidR="002F6619" w:rsidRDefault="002F6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05254C2D" w14:textId="77777777" w:rsidTr="00D077E9">
      <w:trPr>
        <w:trHeight w:val="978"/>
      </w:trPr>
      <w:tc>
        <w:tcPr>
          <w:tcW w:w="9990" w:type="dxa"/>
          <w:tcBorders>
            <w:top w:val="nil"/>
            <w:left w:val="nil"/>
            <w:bottom w:val="single" w:sz="36" w:space="0" w:color="34ABA2" w:themeColor="accent3"/>
            <w:right w:val="nil"/>
          </w:tcBorders>
        </w:tcPr>
        <w:p w14:paraId="6111DBAC" w14:textId="77777777" w:rsidR="00D077E9" w:rsidRDefault="00D077E9">
          <w:pPr>
            <w:pStyle w:val="Header"/>
          </w:pPr>
        </w:p>
      </w:tc>
    </w:tr>
  </w:tbl>
  <w:p w14:paraId="02E8030A" w14:textId="77777777" w:rsidR="00D077E9" w:rsidRDefault="00D077E9" w:rsidP="00D07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4C"/>
    <w:rsid w:val="0002482E"/>
    <w:rsid w:val="00050324"/>
    <w:rsid w:val="000A0150"/>
    <w:rsid w:val="000A05C0"/>
    <w:rsid w:val="000E63C9"/>
    <w:rsid w:val="00122902"/>
    <w:rsid w:val="00130E9D"/>
    <w:rsid w:val="00150A6D"/>
    <w:rsid w:val="00185B35"/>
    <w:rsid w:val="001F2BC8"/>
    <w:rsid w:val="001F5F6B"/>
    <w:rsid w:val="00243EBC"/>
    <w:rsid w:val="00246A35"/>
    <w:rsid w:val="00284348"/>
    <w:rsid w:val="002F51F5"/>
    <w:rsid w:val="002F6619"/>
    <w:rsid w:val="00312137"/>
    <w:rsid w:val="00330359"/>
    <w:rsid w:val="0033762F"/>
    <w:rsid w:val="00366C7E"/>
    <w:rsid w:val="00384EA3"/>
    <w:rsid w:val="003A39A1"/>
    <w:rsid w:val="003C2191"/>
    <w:rsid w:val="003D3863"/>
    <w:rsid w:val="004110DE"/>
    <w:rsid w:val="0044085A"/>
    <w:rsid w:val="004B21A5"/>
    <w:rsid w:val="005037F0"/>
    <w:rsid w:val="00516A86"/>
    <w:rsid w:val="005275F6"/>
    <w:rsid w:val="00572102"/>
    <w:rsid w:val="005F1BB0"/>
    <w:rsid w:val="00656C4D"/>
    <w:rsid w:val="006E5716"/>
    <w:rsid w:val="00720219"/>
    <w:rsid w:val="007302B3"/>
    <w:rsid w:val="00730733"/>
    <w:rsid w:val="00730E3A"/>
    <w:rsid w:val="00736AAF"/>
    <w:rsid w:val="00765B2A"/>
    <w:rsid w:val="00783A34"/>
    <w:rsid w:val="007A65E7"/>
    <w:rsid w:val="007C6B52"/>
    <w:rsid w:val="007D16C5"/>
    <w:rsid w:val="00862FE4"/>
    <w:rsid w:val="0086389A"/>
    <w:rsid w:val="0087605E"/>
    <w:rsid w:val="008B1FEE"/>
    <w:rsid w:val="00903C32"/>
    <w:rsid w:val="00916B16"/>
    <w:rsid w:val="009173B9"/>
    <w:rsid w:val="0093335D"/>
    <w:rsid w:val="0093613E"/>
    <w:rsid w:val="00943026"/>
    <w:rsid w:val="00966B81"/>
    <w:rsid w:val="009C7720"/>
    <w:rsid w:val="00A23AFA"/>
    <w:rsid w:val="00A31B3E"/>
    <w:rsid w:val="00A532F3"/>
    <w:rsid w:val="00A8489E"/>
    <w:rsid w:val="00AC29F3"/>
    <w:rsid w:val="00B231E5"/>
    <w:rsid w:val="00C02B87"/>
    <w:rsid w:val="00C4086D"/>
    <w:rsid w:val="00CA1896"/>
    <w:rsid w:val="00CB5B28"/>
    <w:rsid w:val="00CC114C"/>
    <w:rsid w:val="00CF5371"/>
    <w:rsid w:val="00D0323A"/>
    <w:rsid w:val="00D0559F"/>
    <w:rsid w:val="00D077E9"/>
    <w:rsid w:val="00D42CB7"/>
    <w:rsid w:val="00D5413D"/>
    <w:rsid w:val="00D570A9"/>
    <w:rsid w:val="00D70D02"/>
    <w:rsid w:val="00D770C7"/>
    <w:rsid w:val="00D86945"/>
    <w:rsid w:val="00D90290"/>
    <w:rsid w:val="00DA1BBF"/>
    <w:rsid w:val="00DD152F"/>
    <w:rsid w:val="00DE213F"/>
    <w:rsid w:val="00DF027C"/>
    <w:rsid w:val="00E00A32"/>
    <w:rsid w:val="00E22ACD"/>
    <w:rsid w:val="00E620B0"/>
    <w:rsid w:val="00E81B40"/>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2FF60"/>
  <w15:docId w15:val="{B8DA1990-6C0F-43C2-91FE-7B4AB91A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hanrahan\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Managers Assistant</dc:creator>
  <cp:keywords/>
  <cp:lastModifiedBy>Danielle Hanrahan</cp:lastModifiedBy>
  <cp:revision>2</cp:revision>
  <cp:lastPrinted>2019-11-19T22:16:00Z</cp:lastPrinted>
  <dcterms:created xsi:type="dcterms:W3CDTF">2019-12-04T01:56:00Z</dcterms:created>
  <dcterms:modified xsi:type="dcterms:W3CDTF">2019-12-04T01:56:00Z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